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40F1">
      <w:pPr>
        <w:jc w:val="both"/>
        <w:rPr>
          <w:rFonts w:hint="eastAsia" w:eastAsiaTheme="minorEastAsia"/>
          <w:color w:val="auto"/>
          <w:lang w:eastAsia="zh-CN"/>
        </w:rPr>
      </w:pPr>
    </w:p>
    <w:p w14:paraId="2E5D0700">
      <w:pPr>
        <w:jc w:val="center"/>
        <w:rPr>
          <w:color w:val="auto"/>
        </w:rPr>
      </w:pPr>
    </w:p>
    <w:p w14:paraId="29D9A884">
      <w:pPr>
        <w:jc w:val="center"/>
        <w:rPr>
          <w:color w:val="auto"/>
        </w:rPr>
      </w:pPr>
    </w:p>
    <w:p w14:paraId="5793761C">
      <w:pPr>
        <w:jc w:val="both"/>
        <w:rPr>
          <w:rFonts w:hint="eastAsia" w:eastAsiaTheme="minorEastAsia"/>
          <w:color w:val="auto"/>
          <w:lang w:eastAsia="zh-CN"/>
        </w:rPr>
      </w:pPr>
      <w:r>
        <w:rPr>
          <w:rFonts w:hint="eastAsia"/>
          <w:color w:val="auto"/>
          <w:lang w:val="en-US" w:eastAsia="zh-CN"/>
        </w:rPr>
        <w:t xml:space="preserve">                              </w:t>
      </w:r>
      <w:r>
        <w:rPr>
          <w:rFonts w:hint="eastAsia" w:eastAsiaTheme="minorEastAsia"/>
          <w:color w:val="auto"/>
          <w:lang w:eastAsia="zh-CN"/>
        </w:rPr>
        <w:drawing>
          <wp:inline distT="0" distB="0" distL="114300" distR="114300">
            <wp:extent cx="2162810" cy="2162810"/>
            <wp:effectExtent l="0" t="0" r="8890" b="8890"/>
            <wp:docPr id="2" name="图片 2" descr="b4cdcb46f718fac4dc6ef65a5c92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cdcb46f718fac4dc6ef65a5c92f5c"/>
                    <pic:cNvPicPr>
                      <a:picLocks noChangeAspect="1"/>
                    </pic:cNvPicPr>
                  </pic:nvPicPr>
                  <pic:blipFill>
                    <a:blip r:embed="rId7"/>
                    <a:stretch>
                      <a:fillRect/>
                    </a:stretch>
                  </pic:blipFill>
                  <pic:spPr>
                    <a:xfrm>
                      <a:off x="0" y="0"/>
                      <a:ext cx="2162810" cy="2162810"/>
                    </a:xfrm>
                    <a:prstGeom prst="rect">
                      <a:avLst/>
                    </a:prstGeom>
                  </pic:spPr>
                </pic:pic>
              </a:graphicData>
            </a:graphic>
          </wp:inline>
        </w:drawing>
      </w:r>
    </w:p>
    <w:p w14:paraId="22BC79C9">
      <w:pPr>
        <w:jc w:val="both"/>
        <w:rPr>
          <w:color w:val="auto"/>
        </w:rPr>
      </w:pPr>
    </w:p>
    <w:p w14:paraId="58D1413E">
      <w:pPr>
        <w:jc w:val="center"/>
        <w:rPr>
          <w:color w:val="auto"/>
        </w:rPr>
      </w:pPr>
    </w:p>
    <w:p w14:paraId="6DB21B7E">
      <w:pPr>
        <w:jc w:val="center"/>
        <w:rPr>
          <w:color w:val="auto"/>
        </w:rPr>
      </w:pPr>
    </w:p>
    <w:p w14:paraId="72FC68B3">
      <w:pPr>
        <w:jc w:val="center"/>
        <w:rPr>
          <w:rFonts w:hint="eastAsia"/>
          <w:color w:val="auto"/>
        </w:rPr>
      </w:pPr>
    </w:p>
    <w:p w14:paraId="1860453A">
      <w:pPr>
        <w:jc w:val="center"/>
        <w:rPr>
          <w:rFonts w:hint="eastAsia" w:eastAsia="黑体"/>
          <w:color w:val="auto"/>
          <w:lang w:eastAsia="zh-CN"/>
        </w:rPr>
      </w:pPr>
      <w:r>
        <w:rPr>
          <w:rFonts w:hint="eastAsia" w:ascii="黑体" w:hAnsi="黑体" w:eastAsia="黑体"/>
          <w:b/>
          <w:bCs/>
          <w:color w:val="auto"/>
          <w:sz w:val="72"/>
          <w:szCs w:val="56"/>
        </w:rPr>
        <w:t>认证</w:t>
      </w:r>
      <w:r>
        <w:rPr>
          <w:rFonts w:hint="eastAsia" w:ascii="黑体" w:hAnsi="黑体" w:eastAsia="黑体"/>
          <w:b/>
          <w:bCs/>
          <w:color w:val="auto"/>
          <w:sz w:val="72"/>
          <w:szCs w:val="56"/>
          <w:lang w:eastAsia="zh-CN"/>
        </w:rPr>
        <w:t>合同书</w:t>
      </w:r>
    </w:p>
    <w:p w14:paraId="50BA2EE3">
      <w:pPr>
        <w:rPr>
          <w:color w:val="auto"/>
        </w:rPr>
      </w:pPr>
    </w:p>
    <w:p w14:paraId="2EF20262">
      <w:pPr>
        <w:rPr>
          <w:color w:val="auto"/>
        </w:rPr>
      </w:pPr>
    </w:p>
    <w:p w14:paraId="68B025C9">
      <w:pPr>
        <w:rPr>
          <w:color w:val="auto"/>
        </w:rPr>
      </w:pPr>
    </w:p>
    <w:p w14:paraId="1EC0C888">
      <w:pPr>
        <w:rPr>
          <w:color w:val="auto"/>
        </w:rPr>
      </w:pPr>
    </w:p>
    <w:p w14:paraId="65F98293">
      <w:pPr>
        <w:rPr>
          <w:color w:val="auto"/>
        </w:rPr>
      </w:pPr>
    </w:p>
    <w:p w14:paraId="5CB682DA">
      <w:pPr>
        <w:ind w:firstLine="1687" w:firstLineChars="600"/>
        <w:rPr>
          <w:rFonts w:hint="default"/>
          <w:b/>
          <w:bCs/>
          <w:color w:val="auto"/>
          <w:sz w:val="28"/>
          <w:szCs w:val="32"/>
          <w:u w:val="single"/>
          <w:lang w:val="en-US" w:eastAsia="zh-CN"/>
        </w:rPr>
      </w:pPr>
      <w:r>
        <w:rPr>
          <w:rFonts w:hint="eastAsia"/>
          <w:b/>
          <w:bCs/>
          <w:color w:val="auto"/>
          <w:sz w:val="28"/>
          <w:szCs w:val="32"/>
          <w:lang w:eastAsia="zh-CN"/>
        </w:rPr>
        <w:t>申请认证组织（甲方）：</w:t>
      </w:r>
      <w:r>
        <w:rPr>
          <w:rFonts w:hint="eastAsia"/>
          <w:b/>
          <w:bCs/>
          <w:color w:val="auto"/>
          <w:sz w:val="28"/>
          <w:szCs w:val="32"/>
          <w:u w:val="single"/>
          <w:lang w:val="en-US" w:eastAsia="zh-CN"/>
        </w:rPr>
        <w:t xml:space="preserve">                        </w:t>
      </w:r>
    </w:p>
    <w:p w14:paraId="31D57E1B">
      <w:pPr>
        <w:ind w:firstLine="1687" w:firstLineChars="600"/>
        <w:rPr>
          <w:rFonts w:hint="default" w:eastAsiaTheme="minorEastAsia"/>
          <w:b/>
          <w:bCs/>
          <w:color w:val="auto"/>
          <w:sz w:val="28"/>
          <w:szCs w:val="32"/>
          <w:u w:val="single"/>
          <w:lang w:val="en-US" w:eastAsia="zh-CN"/>
        </w:rPr>
      </w:pPr>
      <w:r>
        <w:rPr>
          <w:rFonts w:hint="eastAsia"/>
          <w:b/>
          <w:bCs/>
          <w:color w:val="auto"/>
          <w:sz w:val="28"/>
          <w:szCs w:val="32"/>
          <w:lang w:eastAsia="zh-CN"/>
        </w:rPr>
        <w:t>认</w:t>
      </w:r>
      <w:r>
        <w:rPr>
          <w:rFonts w:hint="eastAsia"/>
          <w:b/>
          <w:bCs/>
          <w:color w:val="auto"/>
          <w:sz w:val="28"/>
          <w:szCs w:val="32"/>
          <w:lang w:val="en-US" w:eastAsia="zh-CN"/>
        </w:rPr>
        <w:t xml:space="preserve"> </w:t>
      </w:r>
      <w:r>
        <w:rPr>
          <w:rFonts w:hint="eastAsia"/>
          <w:b/>
          <w:bCs/>
          <w:color w:val="auto"/>
          <w:sz w:val="28"/>
          <w:szCs w:val="32"/>
          <w:lang w:eastAsia="zh-CN"/>
        </w:rPr>
        <w:t>证</w:t>
      </w:r>
      <w:r>
        <w:rPr>
          <w:rFonts w:hint="eastAsia"/>
          <w:b/>
          <w:bCs/>
          <w:color w:val="auto"/>
          <w:sz w:val="28"/>
          <w:szCs w:val="32"/>
          <w:lang w:val="en-US" w:eastAsia="zh-CN"/>
        </w:rPr>
        <w:t xml:space="preserve"> </w:t>
      </w:r>
      <w:r>
        <w:rPr>
          <w:rFonts w:hint="eastAsia"/>
          <w:b/>
          <w:bCs/>
          <w:color w:val="auto"/>
          <w:sz w:val="28"/>
          <w:szCs w:val="32"/>
          <w:lang w:eastAsia="zh-CN"/>
        </w:rPr>
        <w:t>机</w:t>
      </w:r>
      <w:r>
        <w:rPr>
          <w:rFonts w:hint="eastAsia"/>
          <w:b/>
          <w:bCs/>
          <w:color w:val="auto"/>
          <w:sz w:val="28"/>
          <w:szCs w:val="32"/>
          <w:lang w:val="en-US" w:eastAsia="zh-CN"/>
        </w:rPr>
        <w:t xml:space="preserve"> </w:t>
      </w:r>
      <w:r>
        <w:rPr>
          <w:rFonts w:hint="eastAsia"/>
          <w:b/>
          <w:bCs/>
          <w:color w:val="auto"/>
          <w:sz w:val="28"/>
          <w:szCs w:val="32"/>
          <w:lang w:eastAsia="zh-CN"/>
        </w:rPr>
        <w:t>构</w:t>
      </w:r>
      <w:r>
        <w:rPr>
          <w:rFonts w:hint="eastAsia"/>
          <w:b/>
          <w:bCs/>
          <w:color w:val="auto"/>
          <w:sz w:val="28"/>
          <w:szCs w:val="32"/>
          <w:lang w:val="en-US" w:eastAsia="zh-CN"/>
        </w:rPr>
        <w:t xml:space="preserve"> </w:t>
      </w:r>
      <w:r>
        <w:rPr>
          <w:rFonts w:hint="eastAsia"/>
          <w:b/>
          <w:bCs/>
          <w:color w:val="auto"/>
          <w:sz w:val="28"/>
          <w:szCs w:val="32"/>
          <w:lang w:eastAsia="zh-CN"/>
        </w:rPr>
        <w:t>（乙方）：</w:t>
      </w:r>
      <w:r>
        <w:rPr>
          <w:rFonts w:hint="eastAsia"/>
          <w:b/>
          <w:bCs/>
          <w:color w:val="auto"/>
          <w:sz w:val="28"/>
          <w:szCs w:val="32"/>
          <w:u w:val="single"/>
          <w:lang w:val="en-US" w:eastAsia="zh-CN"/>
        </w:rPr>
        <w:t xml:space="preserve">   中天认证有限公司       </w:t>
      </w:r>
    </w:p>
    <w:p w14:paraId="5BDCA3D0">
      <w:pPr>
        <w:ind w:firstLine="1687" w:firstLineChars="600"/>
        <w:rPr>
          <w:rFonts w:hint="default" w:eastAsiaTheme="minorEastAsia"/>
          <w:b/>
          <w:bCs/>
          <w:color w:val="auto"/>
          <w:sz w:val="28"/>
          <w:szCs w:val="32"/>
          <w:u w:val="single"/>
          <w:lang w:val="en-US" w:eastAsia="zh-CN"/>
        </w:rPr>
      </w:pPr>
      <w:r>
        <w:rPr>
          <w:rFonts w:hint="eastAsia"/>
          <w:b/>
          <w:bCs/>
          <w:color w:val="auto"/>
          <w:sz w:val="28"/>
          <w:szCs w:val="32"/>
          <w:lang w:eastAsia="zh-CN"/>
        </w:rPr>
        <w:t>签</w:t>
      </w:r>
      <w:r>
        <w:rPr>
          <w:rFonts w:hint="eastAsia"/>
          <w:b/>
          <w:bCs/>
          <w:color w:val="auto"/>
          <w:sz w:val="28"/>
          <w:szCs w:val="32"/>
          <w:lang w:val="en-US" w:eastAsia="zh-CN"/>
        </w:rPr>
        <w:t xml:space="preserve">   </w:t>
      </w:r>
      <w:r>
        <w:rPr>
          <w:rFonts w:hint="eastAsia"/>
          <w:b/>
          <w:bCs/>
          <w:color w:val="auto"/>
          <w:sz w:val="28"/>
          <w:szCs w:val="32"/>
          <w:lang w:eastAsia="zh-CN"/>
        </w:rPr>
        <w:t>订</w:t>
      </w:r>
      <w:r>
        <w:rPr>
          <w:rFonts w:hint="eastAsia"/>
          <w:b/>
          <w:bCs/>
          <w:color w:val="auto"/>
          <w:sz w:val="28"/>
          <w:szCs w:val="32"/>
          <w:lang w:val="en-US" w:eastAsia="zh-CN"/>
        </w:rPr>
        <w:t xml:space="preserve">   </w:t>
      </w:r>
      <w:r>
        <w:rPr>
          <w:rFonts w:hint="eastAsia"/>
          <w:b/>
          <w:bCs/>
          <w:color w:val="auto"/>
          <w:sz w:val="28"/>
          <w:szCs w:val="32"/>
          <w:lang w:eastAsia="zh-CN"/>
        </w:rPr>
        <w:t>日</w:t>
      </w:r>
      <w:r>
        <w:rPr>
          <w:rFonts w:hint="eastAsia"/>
          <w:b/>
          <w:bCs/>
          <w:color w:val="auto"/>
          <w:sz w:val="28"/>
          <w:szCs w:val="32"/>
          <w:lang w:val="en-US" w:eastAsia="zh-CN"/>
        </w:rPr>
        <w:t xml:space="preserve">   </w:t>
      </w:r>
      <w:r>
        <w:rPr>
          <w:rFonts w:hint="eastAsia"/>
          <w:b/>
          <w:bCs/>
          <w:color w:val="auto"/>
          <w:sz w:val="28"/>
          <w:szCs w:val="32"/>
          <w:lang w:eastAsia="zh-CN"/>
        </w:rPr>
        <w:t>期</w:t>
      </w:r>
      <w:r>
        <w:rPr>
          <w:rFonts w:hint="eastAsia"/>
          <w:b/>
          <w:bCs/>
          <w:color w:val="auto"/>
          <w:sz w:val="28"/>
          <w:szCs w:val="32"/>
          <w:lang w:val="en-US" w:eastAsia="zh-CN"/>
        </w:rPr>
        <w:t xml:space="preserve">  </w:t>
      </w:r>
      <w:r>
        <w:rPr>
          <w:rFonts w:hint="eastAsia"/>
          <w:b/>
          <w:bCs/>
          <w:color w:val="auto"/>
          <w:sz w:val="28"/>
          <w:szCs w:val="32"/>
          <w:lang w:eastAsia="zh-CN"/>
        </w:rPr>
        <w:t>：</w:t>
      </w:r>
      <w:r>
        <w:rPr>
          <w:rFonts w:hint="eastAsia"/>
          <w:b/>
          <w:bCs/>
          <w:color w:val="auto"/>
          <w:sz w:val="28"/>
          <w:szCs w:val="32"/>
          <w:u w:val="single"/>
          <w:lang w:val="en-US" w:eastAsia="zh-CN"/>
        </w:rPr>
        <w:t xml:space="preserve">                          </w:t>
      </w:r>
    </w:p>
    <w:p w14:paraId="1189D235">
      <w:pPr>
        <w:ind w:firstLine="1687" w:firstLineChars="600"/>
        <w:rPr>
          <w:rFonts w:hint="default" w:eastAsiaTheme="minorEastAsia"/>
          <w:b/>
          <w:bCs/>
          <w:color w:val="auto"/>
          <w:sz w:val="28"/>
          <w:szCs w:val="32"/>
          <w:u w:val="single"/>
          <w:lang w:val="en-US" w:eastAsia="zh-CN"/>
        </w:rPr>
      </w:pPr>
      <w:r>
        <w:rPr>
          <w:rFonts w:hint="eastAsia"/>
          <w:b/>
          <w:bCs/>
          <w:color w:val="auto"/>
          <w:sz w:val="28"/>
          <w:szCs w:val="32"/>
          <w:lang w:eastAsia="zh-CN"/>
        </w:rPr>
        <w:t>合</w:t>
      </w:r>
      <w:r>
        <w:rPr>
          <w:rFonts w:hint="eastAsia"/>
          <w:b/>
          <w:bCs/>
          <w:color w:val="auto"/>
          <w:sz w:val="28"/>
          <w:szCs w:val="32"/>
          <w:lang w:val="en-US" w:eastAsia="zh-CN"/>
        </w:rPr>
        <w:t xml:space="preserve">   </w:t>
      </w:r>
      <w:r>
        <w:rPr>
          <w:rFonts w:hint="eastAsia"/>
          <w:b/>
          <w:bCs/>
          <w:color w:val="auto"/>
          <w:sz w:val="28"/>
          <w:szCs w:val="32"/>
          <w:lang w:eastAsia="zh-CN"/>
        </w:rPr>
        <w:t>同</w:t>
      </w:r>
      <w:r>
        <w:rPr>
          <w:rFonts w:hint="eastAsia"/>
          <w:b/>
          <w:bCs/>
          <w:color w:val="auto"/>
          <w:sz w:val="28"/>
          <w:szCs w:val="32"/>
          <w:lang w:val="en-US" w:eastAsia="zh-CN"/>
        </w:rPr>
        <w:t xml:space="preserve">   </w:t>
      </w:r>
      <w:r>
        <w:rPr>
          <w:rFonts w:hint="eastAsia"/>
          <w:b/>
          <w:bCs/>
          <w:color w:val="auto"/>
          <w:sz w:val="28"/>
          <w:szCs w:val="32"/>
          <w:lang w:eastAsia="zh-CN"/>
        </w:rPr>
        <w:t>编</w:t>
      </w:r>
      <w:r>
        <w:rPr>
          <w:rFonts w:hint="eastAsia"/>
          <w:b/>
          <w:bCs/>
          <w:color w:val="auto"/>
          <w:sz w:val="28"/>
          <w:szCs w:val="32"/>
          <w:lang w:val="en-US" w:eastAsia="zh-CN"/>
        </w:rPr>
        <w:t xml:space="preserve">   </w:t>
      </w:r>
      <w:r>
        <w:rPr>
          <w:rFonts w:hint="eastAsia"/>
          <w:b/>
          <w:bCs/>
          <w:color w:val="auto"/>
          <w:sz w:val="28"/>
          <w:szCs w:val="32"/>
          <w:lang w:eastAsia="zh-CN"/>
        </w:rPr>
        <w:t>号</w:t>
      </w:r>
      <w:r>
        <w:rPr>
          <w:rFonts w:hint="eastAsia"/>
          <w:b/>
          <w:bCs/>
          <w:color w:val="auto"/>
          <w:sz w:val="28"/>
          <w:szCs w:val="32"/>
          <w:lang w:val="en-US" w:eastAsia="zh-CN"/>
        </w:rPr>
        <w:t xml:space="preserve">  </w:t>
      </w:r>
      <w:r>
        <w:rPr>
          <w:rFonts w:hint="eastAsia"/>
          <w:b/>
          <w:bCs/>
          <w:color w:val="auto"/>
          <w:sz w:val="28"/>
          <w:szCs w:val="32"/>
          <w:lang w:eastAsia="zh-CN"/>
        </w:rPr>
        <w:t>：</w:t>
      </w:r>
      <w:r>
        <w:rPr>
          <w:rFonts w:hint="eastAsia"/>
          <w:b/>
          <w:bCs/>
          <w:color w:val="auto"/>
          <w:sz w:val="28"/>
          <w:szCs w:val="32"/>
          <w:u w:val="single"/>
          <w:lang w:val="en-US" w:eastAsia="zh-CN"/>
        </w:rPr>
        <w:t xml:space="preserve"> </w:t>
      </w:r>
      <w:r>
        <w:rPr>
          <w:rFonts w:hint="eastAsia" w:ascii="宋体" w:hAnsi="宋体"/>
          <w:b/>
          <w:color w:val="auto"/>
          <w:sz w:val="28"/>
          <w:szCs w:val="28"/>
          <w:u w:val="single"/>
          <w:lang w:val="en-US" w:eastAsia="zh-CN"/>
        </w:rPr>
        <w:t xml:space="preserve">                      </w:t>
      </w:r>
      <w:r>
        <w:rPr>
          <w:rFonts w:hint="eastAsia"/>
          <w:b/>
          <w:bCs/>
          <w:color w:val="auto"/>
          <w:sz w:val="28"/>
          <w:szCs w:val="32"/>
          <w:u w:val="single"/>
          <w:lang w:val="en-US" w:eastAsia="zh-CN"/>
        </w:rPr>
        <w:t xml:space="preserve">   </w:t>
      </w:r>
    </w:p>
    <w:p w14:paraId="17C52E93">
      <w:pPr>
        <w:jc w:val="both"/>
        <w:rPr>
          <w:color w:val="auto"/>
        </w:rPr>
      </w:pPr>
    </w:p>
    <w:p w14:paraId="041E04D8">
      <w:pPr>
        <w:jc w:val="both"/>
        <w:rPr>
          <w:color w:val="auto"/>
        </w:rPr>
      </w:pPr>
    </w:p>
    <w:p w14:paraId="62A8895B">
      <w:pPr>
        <w:jc w:val="both"/>
        <w:rPr>
          <w:color w:val="auto"/>
        </w:rPr>
      </w:pPr>
    </w:p>
    <w:p w14:paraId="1007B6F8">
      <w:pPr>
        <w:jc w:val="both"/>
        <w:rPr>
          <w:color w:val="auto"/>
        </w:rPr>
      </w:pPr>
    </w:p>
    <w:p w14:paraId="51206CBC">
      <w:pPr>
        <w:jc w:val="center"/>
        <w:rPr>
          <w:color w:val="auto"/>
        </w:rPr>
        <w:sectPr>
          <w:headerReference r:id="rId3" w:type="default"/>
          <w:footerReference r:id="rId4" w:type="default"/>
          <w:pgSz w:w="11906" w:h="16838"/>
          <w:pgMar w:top="1440" w:right="1179" w:bottom="1440" w:left="1179" w:header="851" w:footer="992" w:gutter="0"/>
          <w:pgBorders>
            <w:top w:val="none" w:sz="0" w:space="0"/>
            <w:left w:val="none" w:sz="0" w:space="0"/>
            <w:bottom w:val="none" w:sz="0" w:space="0"/>
            <w:right w:val="none" w:sz="0" w:space="0"/>
          </w:pgBorders>
          <w:cols w:space="425" w:num="1"/>
          <w:docGrid w:type="lines" w:linePitch="312" w:charSpace="0"/>
        </w:sectPr>
      </w:pPr>
    </w:p>
    <w:p w14:paraId="245A1859">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甲乙双方依据《中华人民共和国</w:t>
      </w:r>
      <w:r>
        <w:rPr>
          <w:rFonts w:hint="eastAsia" w:ascii="宋体" w:hAnsi="宋体" w:eastAsia="宋体" w:cs="宋体"/>
          <w:bCs/>
          <w:color w:val="auto"/>
          <w:szCs w:val="21"/>
          <w:lang w:val="en-US" w:eastAsia="zh-CN"/>
        </w:rPr>
        <w:t>民法典</w:t>
      </w:r>
      <w:r>
        <w:rPr>
          <w:rFonts w:hint="eastAsia" w:ascii="宋体" w:hAnsi="宋体" w:eastAsia="宋体" w:cs="宋体"/>
          <w:bCs/>
          <w:color w:val="auto"/>
          <w:szCs w:val="21"/>
        </w:rPr>
        <w:t>》、《中华人民共和国认证认可条例》、《认证机构管理办法》和国际认证认可规则的要求，商定由乙方为甲方提供认证服务，并就认证服务的具体项目协商一致，签订本合同。</w:t>
      </w:r>
    </w:p>
    <w:p w14:paraId="2E340712">
      <w:pPr>
        <w:numPr>
          <w:ilvl w:val="0"/>
          <w:numId w:val="1"/>
        </w:num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内容和范围</w:t>
      </w:r>
    </w:p>
    <w:p w14:paraId="60EB703A">
      <w:pPr>
        <w:numPr>
          <w:ilvl w:val="1"/>
          <w:numId w:val="2"/>
        </w:numPr>
        <w:autoSpaceDE w:val="0"/>
        <w:autoSpaceDN w:val="0"/>
        <w:adjustRightInd w:val="0"/>
        <w:spacing w:line="340" w:lineRule="exact"/>
        <w:ind w:left="357" w:leftChars="170"/>
        <w:jc w:val="left"/>
        <w:rPr>
          <w:rFonts w:hint="default" w:ascii="宋体" w:hAnsi="宋体" w:eastAsiaTheme="minorEastAsia"/>
          <w:bCs/>
          <w:color w:val="auto"/>
          <w:szCs w:val="21"/>
          <w:u w:val="single"/>
          <w:lang w:val="en-US" w:eastAsia="zh-CN"/>
        </w:rPr>
      </w:pPr>
      <w:r>
        <w:rPr>
          <w:rFonts w:hint="eastAsia" w:ascii="宋体" w:hAnsi="宋体"/>
          <w:bCs/>
          <w:color w:val="auto"/>
          <w:szCs w:val="21"/>
        </w:rPr>
        <w:t>合同类型:</w:t>
      </w:r>
      <w:r>
        <w:rPr>
          <w:rFonts w:hint="eastAsia" w:ascii="宋体" w:hAnsi="宋体"/>
          <w:color w:val="auto"/>
          <w:szCs w:val="21"/>
        </w:rPr>
        <w:t xml:space="preserve"> </w:t>
      </w:r>
      <w:r>
        <w:rPr>
          <w:rFonts w:hint="eastAsia" w:ascii="宋体" w:hAnsi="宋体"/>
          <w:color w:val="auto"/>
          <w:szCs w:val="21"/>
          <w:lang w:eastAsia="zh-CN"/>
        </w:rPr>
        <w:t>□</w:t>
      </w:r>
      <w:r>
        <w:rPr>
          <w:rFonts w:hint="eastAsia" w:ascii="宋体" w:hAnsi="宋体"/>
          <w:color w:val="auto"/>
          <w:szCs w:val="21"/>
        </w:rPr>
        <w:t xml:space="preserve">初次认证       </w:t>
      </w:r>
      <w:r>
        <w:rPr>
          <w:rFonts w:hint="eastAsia" w:ascii="宋体" w:hAnsi="宋体"/>
          <w:color w:val="auto"/>
          <w:szCs w:val="21"/>
          <w:lang w:eastAsia="zh-CN"/>
        </w:rPr>
        <w:t>□</w:t>
      </w:r>
      <w:r>
        <w:rPr>
          <w:rFonts w:hint="eastAsia" w:ascii="宋体" w:hAnsi="宋体"/>
          <w:color w:val="auto"/>
          <w:szCs w:val="21"/>
        </w:rPr>
        <w:t xml:space="preserve">再认证    </w:t>
      </w:r>
      <w:r>
        <w:rPr>
          <w:rFonts w:ascii="宋体" w:hAnsi="宋体" w:cs="BIDOTB+ËÎÌå"/>
          <w:color w:val="auto"/>
          <w:szCs w:val="21"/>
        </w:rPr>
        <w:t>□扩大</w:t>
      </w:r>
      <w:r>
        <w:rPr>
          <w:rFonts w:hint="eastAsia" w:ascii="宋体" w:hAnsi="宋体"/>
          <w:color w:val="auto"/>
          <w:szCs w:val="21"/>
        </w:rPr>
        <w:t>认证</w:t>
      </w:r>
      <w:r>
        <w:rPr>
          <w:rFonts w:ascii="宋体" w:hAnsi="宋体" w:cs="BIDOTB+ËÎÌå"/>
          <w:color w:val="auto"/>
          <w:szCs w:val="21"/>
        </w:rPr>
        <w:t>范围</w:t>
      </w:r>
      <w:r>
        <w:rPr>
          <w:rFonts w:hint="eastAsia" w:ascii="宋体" w:hAnsi="宋体" w:cs="BIDOTB+ËÎÌå"/>
          <w:color w:val="auto"/>
          <w:szCs w:val="21"/>
        </w:rPr>
        <w:t xml:space="preserve">   </w:t>
      </w:r>
      <w:r>
        <w:rPr>
          <w:rFonts w:hint="eastAsia" w:ascii="宋体" w:hAnsi="宋体"/>
          <w:color w:val="auto"/>
          <w:szCs w:val="21"/>
          <w:lang w:eastAsia="zh-CN"/>
        </w:rPr>
        <w:t>□</w:t>
      </w:r>
      <w:r>
        <w:rPr>
          <w:rFonts w:hint="eastAsia" w:ascii="宋体" w:hAnsi="宋体"/>
          <w:color w:val="auto"/>
          <w:szCs w:val="21"/>
        </w:rPr>
        <w:t>其他</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7A7C38C">
      <w:pPr>
        <w:numPr>
          <w:ilvl w:val="1"/>
          <w:numId w:val="2"/>
        </w:numPr>
        <w:autoSpaceDE w:val="0"/>
        <w:autoSpaceDN w:val="0"/>
        <w:adjustRightInd w:val="0"/>
        <w:spacing w:line="340" w:lineRule="exact"/>
        <w:ind w:left="357" w:leftChars="170"/>
        <w:jc w:val="left"/>
        <w:rPr>
          <w:rFonts w:hint="eastAsia" w:ascii="宋体" w:hAnsi="宋体"/>
          <w:color w:val="auto"/>
          <w:szCs w:val="21"/>
          <w:u w:val="single"/>
        </w:rPr>
      </w:pPr>
      <w:r>
        <w:rPr>
          <w:rFonts w:ascii="宋体" w:hAnsi="宋体"/>
          <w:bCs/>
          <w:color w:val="auto"/>
          <w:szCs w:val="21"/>
        </w:rPr>
        <w:t>认证服务项目</w:t>
      </w:r>
      <w:r>
        <w:rPr>
          <w:rFonts w:hint="eastAsia" w:ascii="宋体" w:hAnsi="宋体"/>
          <w:bCs/>
          <w:color w:val="auto"/>
          <w:szCs w:val="21"/>
        </w:rPr>
        <w:t>及认可标识</w:t>
      </w:r>
      <w:r>
        <w:rPr>
          <w:rFonts w:ascii="宋体" w:hAnsi="宋体"/>
          <w:bCs/>
          <w:color w:val="auto"/>
          <w:szCs w:val="21"/>
        </w:rPr>
        <w:t>（在</w:t>
      </w:r>
      <w:r>
        <w:rPr>
          <w:rFonts w:hint="eastAsia" w:ascii="宋体" w:hAnsi="宋体"/>
          <w:bCs/>
          <w:color w:val="auto"/>
          <w:szCs w:val="21"/>
        </w:rPr>
        <w:t>□</w:t>
      </w:r>
      <w:r>
        <w:rPr>
          <w:rFonts w:ascii="宋体" w:hAnsi="宋体"/>
          <w:bCs/>
          <w:color w:val="auto"/>
          <w:szCs w:val="21"/>
        </w:rPr>
        <w:t>内划</w:t>
      </w:r>
      <w:r>
        <w:rPr>
          <w:rFonts w:hint="eastAsia" w:ascii="宋体" w:hAnsi="宋体"/>
          <w:bCs/>
          <w:color w:val="auto"/>
          <w:szCs w:val="21"/>
        </w:rPr>
        <w:t>√</w:t>
      </w:r>
      <w:r>
        <w:rPr>
          <w:rFonts w:ascii="宋体" w:hAnsi="宋体"/>
          <w:bCs/>
          <w:color w:val="auto"/>
          <w:szCs w:val="21"/>
        </w:rPr>
        <w:t>表示适用于该项）</w:t>
      </w:r>
      <w:r>
        <w:rPr>
          <w:rFonts w:hint="eastAsia" w:ascii="宋体" w:hAnsi="宋体"/>
          <w:bCs/>
          <w:color w:val="auto"/>
          <w:szCs w:val="21"/>
        </w:rPr>
        <w:t xml:space="preserve"> </w:t>
      </w:r>
    </w:p>
    <w:tbl>
      <w:tblPr>
        <w:tblStyle w:val="8"/>
        <w:tblW w:w="5095"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51"/>
        <w:gridCol w:w="3011"/>
        <w:gridCol w:w="6288"/>
      </w:tblGrid>
      <w:tr w14:paraId="0338F6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27" w:type="pct"/>
            <w:noWrap w:val="0"/>
            <w:vAlign w:val="center"/>
          </w:tcPr>
          <w:p w14:paraId="11806CDA">
            <w:pPr>
              <w:spacing w:line="340" w:lineRule="exact"/>
              <w:jc w:val="center"/>
              <w:rPr>
                <w:rFonts w:ascii="宋体" w:hAnsi="宋体"/>
                <w:bCs/>
                <w:color w:val="auto"/>
                <w:szCs w:val="21"/>
              </w:rPr>
            </w:pPr>
            <w:r>
              <w:rPr>
                <w:rFonts w:ascii="宋体" w:hAnsi="宋体"/>
                <w:bCs/>
                <w:color w:val="auto"/>
                <w:szCs w:val="21"/>
              </w:rPr>
              <w:t>序号</w:t>
            </w:r>
          </w:p>
        </w:tc>
        <w:tc>
          <w:tcPr>
            <w:tcW w:w="1513" w:type="pct"/>
            <w:noWrap w:val="0"/>
            <w:vAlign w:val="center"/>
          </w:tcPr>
          <w:p w14:paraId="7B002482">
            <w:pPr>
              <w:spacing w:line="340" w:lineRule="exact"/>
              <w:jc w:val="center"/>
              <w:rPr>
                <w:rFonts w:ascii="宋体" w:hAnsi="宋体"/>
                <w:bCs/>
                <w:color w:val="auto"/>
                <w:szCs w:val="21"/>
              </w:rPr>
            </w:pPr>
            <w:r>
              <w:rPr>
                <w:rFonts w:ascii="宋体" w:hAnsi="宋体"/>
                <w:bCs/>
                <w:color w:val="auto"/>
                <w:szCs w:val="21"/>
              </w:rPr>
              <w:t>认证领域</w:t>
            </w:r>
          </w:p>
        </w:tc>
        <w:tc>
          <w:tcPr>
            <w:tcW w:w="3159" w:type="pct"/>
            <w:noWrap w:val="0"/>
            <w:vAlign w:val="center"/>
          </w:tcPr>
          <w:p w14:paraId="0A007986">
            <w:pPr>
              <w:spacing w:line="340" w:lineRule="exact"/>
              <w:jc w:val="center"/>
              <w:rPr>
                <w:rFonts w:hint="eastAsia" w:ascii="宋体" w:hAnsi="宋体"/>
                <w:bCs/>
                <w:color w:val="auto"/>
                <w:szCs w:val="21"/>
              </w:rPr>
            </w:pPr>
            <w:r>
              <w:rPr>
                <w:rFonts w:ascii="宋体" w:hAnsi="宋体"/>
                <w:bCs/>
                <w:color w:val="auto"/>
                <w:szCs w:val="21"/>
              </w:rPr>
              <w:t>认证依据标准</w:t>
            </w:r>
          </w:p>
        </w:tc>
      </w:tr>
      <w:tr w14:paraId="094169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651" w:type="dxa"/>
            <w:noWrap w:val="0"/>
            <w:vAlign w:val="center"/>
          </w:tcPr>
          <w:p w14:paraId="083A33B5">
            <w:pPr>
              <w:spacing w:line="340" w:lineRule="exact"/>
              <w:jc w:val="center"/>
              <w:rPr>
                <w:rFonts w:ascii="宋体" w:hAnsi="宋体"/>
                <w:bCs/>
                <w:color w:val="auto"/>
                <w:szCs w:val="21"/>
              </w:rPr>
            </w:pPr>
            <w:r>
              <w:rPr>
                <w:rFonts w:ascii="宋体" w:hAnsi="宋体"/>
                <w:bCs/>
                <w:color w:val="auto"/>
                <w:szCs w:val="21"/>
              </w:rPr>
              <w:t>1</w:t>
            </w:r>
          </w:p>
        </w:tc>
        <w:tc>
          <w:tcPr>
            <w:tcW w:w="1513" w:type="pct"/>
            <w:noWrap w:val="0"/>
            <w:vAlign w:val="center"/>
          </w:tcPr>
          <w:p w14:paraId="3EAD1DCD">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质量管理体系</w:t>
            </w:r>
          </w:p>
        </w:tc>
        <w:tc>
          <w:tcPr>
            <w:tcW w:w="3159" w:type="pct"/>
            <w:noWrap w:val="0"/>
            <w:vAlign w:val="center"/>
          </w:tcPr>
          <w:p w14:paraId="5C776BD3">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GB/T19001-2016/ ISO9001:2015</w:t>
            </w:r>
          </w:p>
        </w:tc>
      </w:tr>
      <w:tr w14:paraId="4FBC40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651" w:type="dxa"/>
            <w:noWrap w:val="0"/>
            <w:vAlign w:val="center"/>
          </w:tcPr>
          <w:p w14:paraId="258C3232">
            <w:pPr>
              <w:spacing w:line="340" w:lineRule="exact"/>
              <w:jc w:val="center"/>
              <w:rPr>
                <w:rFonts w:ascii="宋体" w:hAnsi="宋体"/>
                <w:bCs/>
                <w:color w:val="auto"/>
                <w:szCs w:val="21"/>
              </w:rPr>
            </w:pPr>
            <w:r>
              <w:rPr>
                <w:rFonts w:hint="eastAsia" w:ascii="宋体" w:hAnsi="宋体"/>
                <w:bCs/>
                <w:color w:val="auto"/>
                <w:szCs w:val="21"/>
              </w:rPr>
              <w:t>2</w:t>
            </w:r>
          </w:p>
        </w:tc>
        <w:tc>
          <w:tcPr>
            <w:tcW w:w="1513" w:type="pct"/>
            <w:noWrap w:val="0"/>
            <w:vAlign w:val="center"/>
          </w:tcPr>
          <w:p w14:paraId="2F92A71F">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环境管理体系</w:t>
            </w:r>
          </w:p>
        </w:tc>
        <w:tc>
          <w:tcPr>
            <w:tcW w:w="3159" w:type="pct"/>
            <w:noWrap w:val="0"/>
            <w:vAlign w:val="center"/>
          </w:tcPr>
          <w:p w14:paraId="4987B943">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GB/T24001-2016/ ISO14001:2015</w:t>
            </w:r>
          </w:p>
        </w:tc>
      </w:tr>
      <w:tr w14:paraId="1D13FE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651" w:type="dxa"/>
            <w:noWrap w:val="0"/>
            <w:vAlign w:val="center"/>
          </w:tcPr>
          <w:p w14:paraId="3916E582">
            <w:pPr>
              <w:spacing w:line="340" w:lineRule="exact"/>
              <w:jc w:val="center"/>
              <w:rPr>
                <w:rFonts w:ascii="宋体" w:hAnsi="宋体"/>
                <w:bCs/>
                <w:color w:val="auto"/>
                <w:szCs w:val="21"/>
              </w:rPr>
            </w:pPr>
            <w:r>
              <w:rPr>
                <w:rFonts w:hint="eastAsia" w:ascii="宋体" w:hAnsi="宋体"/>
                <w:bCs/>
                <w:color w:val="auto"/>
                <w:szCs w:val="21"/>
                <w:lang w:val="en-US" w:eastAsia="zh-CN"/>
              </w:rPr>
              <w:t>3</w:t>
            </w:r>
          </w:p>
        </w:tc>
        <w:tc>
          <w:tcPr>
            <w:tcW w:w="1513" w:type="pct"/>
            <w:noWrap w:val="0"/>
            <w:vAlign w:val="center"/>
          </w:tcPr>
          <w:p w14:paraId="5258BFBE">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职业健康安全管理体系</w:t>
            </w:r>
          </w:p>
        </w:tc>
        <w:tc>
          <w:tcPr>
            <w:tcW w:w="3159" w:type="pct"/>
            <w:noWrap w:val="0"/>
            <w:vAlign w:val="center"/>
          </w:tcPr>
          <w:p w14:paraId="2004D094">
            <w:pPr>
              <w:spacing w:line="340" w:lineRule="exact"/>
              <w:jc w:val="left"/>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GB/T45001-2020/ISO45001:2018</w:t>
            </w:r>
          </w:p>
        </w:tc>
      </w:tr>
      <w:tr w14:paraId="5C7D19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jc w:val="center"/>
        </w:trPr>
        <w:tc>
          <w:tcPr>
            <w:tcW w:w="327" w:type="pct"/>
            <w:noWrap w:val="0"/>
            <w:vAlign w:val="center"/>
          </w:tcPr>
          <w:p w14:paraId="77A26E91">
            <w:pPr>
              <w:spacing w:line="340" w:lineRule="exact"/>
              <w:jc w:val="center"/>
              <w:rPr>
                <w:rFonts w:hint="eastAsia" w:ascii="宋体" w:hAnsi="宋体" w:eastAsiaTheme="minorEastAsia"/>
                <w:bCs/>
                <w:color w:val="auto"/>
                <w:szCs w:val="21"/>
                <w:lang w:val="en-US" w:eastAsia="zh-CN"/>
              </w:rPr>
            </w:pPr>
            <w:r>
              <w:rPr>
                <w:rFonts w:hint="eastAsia" w:ascii="宋体" w:hAnsi="宋体"/>
                <w:bCs/>
                <w:color w:val="auto"/>
                <w:szCs w:val="21"/>
                <w:lang w:val="en-US" w:eastAsia="zh-CN"/>
              </w:rPr>
              <w:t>4</w:t>
            </w:r>
          </w:p>
        </w:tc>
        <w:tc>
          <w:tcPr>
            <w:tcW w:w="1513" w:type="pct"/>
            <w:noWrap w:val="0"/>
            <w:vAlign w:val="center"/>
          </w:tcPr>
          <w:p w14:paraId="46E9E65B">
            <w:pPr>
              <w:spacing w:line="340" w:lineRule="exact"/>
              <w:jc w:val="both"/>
              <w:rPr>
                <w:rFonts w:hint="eastAsia" w:ascii="宋体" w:hAnsi="宋体"/>
                <w:bCs/>
                <w:color w:val="auto"/>
                <w:szCs w:val="21"/>
              </w:rPr>
            </w:pPr>
            <w:r>
              <w:rPr>
                <w:rFonts w:hint="eastAsia" w:ascii="宋体" w:hAnsi="宋体"/>
                <w:bCs/>
                <w:color w:val="auto"/>
                <w:szCs w:val="21"/>
              </w:rPr>
              <w:t>□SC0</w:t>
            </w:r>
            <w:r>
              <w:rPr>
                <w:rFonts w:ascii="宋体" w:hAnsi="宋体"/>
                <w:bCs/>
                <w:color w:val="auto"/>
                <w:szCs w:val="21"/>
              </w:rPr>
              <w:t xml:space="preserve">1 </w:t>
            </w:r>
            <w:r>
              <w:rPr>
                <w:rFonts w:hint="eastAsia" w:ascii="宋体" w:hAnsi="宋体"/>
                <w:bCs/>
                <w:color w:val="auto"/>
                <w:szCs w:val="21"/>
              </w:rPr>
              <w:t>无形资产和土地服务</w:t>
            </w:r>
          </w:p>
        </w:tc>
        <w:tc>
          <w:tcPr>
            <w:tcW w:w="3159" w:type="pct"/>
            <w:noWrap w:val="0"/>
            <w:vAlign w:val="center"/>
          </w:tcPr>
          <w:p w14:paraId="0D32BB1E">
            <w:pPr>
              <w:spacing w:line="340" w:lineRule="exact"/>
              <w:jc w:val="both"/>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GB/T 27925-2011</w:t>
            </w:r>
            <w:r>
              <w:rPr>
                <w:rFonts w:hint="eastAsia" w:ascii="宋体" w:hAnsi="宋体"/>
                <w:bCs/>
                <w:color w:val="auto"/>
                <w:szCs w:val="21"/>
              </w:rPr>
              <w:t>（品牌评价）</w:t>
            </w:r>
          </w:p>
        </w:tc>
      </w:tr>
      <w:tr w14:paraId="777A06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327" w:type="pct"/>
            <w:noWrap w:val="0"/>
            <w:vAlign w:val="center"/>
          </w:tcPr>
          <w:p w14:paraId="5A0B3B54">
            <w:pPr>
              <w:spacing w:line="340" w:lineRule="exact"/>
              <w:jc w:val="center"/>
              <w:rPr>
                <w:rFonts w:hint="eastAsia" w:ascii="宋体" w:hAnsi="宋体" w:eastAsiaTheme="minorEastAsia"/>
                <w:bCs/>
                <w:color w:val="auto"/>
                <w:szCs w:val="21"/>
                <w:lang w:val="en-US" w:eastAsia="zh-CN"/>
              </w:rPr>
            </w:pPr>
            <w:r>
              <w:rPr>
                <w:rFonts w:hint="eastAsia" w:ascii="宋体" w:hAnsi="宋体"/>
                <w:bCs/>
                <w:color w:val="auto"/>
                <w:szCs w:val="21"/>
                <w:lang w:val="en-US" w:eastAsia="zh-CN"/>
              </w:rPr>
              <w:t>5</w:t>
            </w:r>
          </w:p>
        </w:tc>
        <w:tc>
          <w:tcPr>
            <w:tcW w:w="1513" w:type="pct"/>
            <w:noWrap w:val="0"/>
            <w:vAlign w:val="center"/>
          </w:tcPr>
          <w:p w14:paraId="1484F9DD">
            <w:pPr>
              <w:spacing w:line="340" w:lineRule="exact"/>
              <w:jc w:val="both"/>
              <w:rPr>
                <w:rFonts w:hint="eastAsia" w:ascii="宋体" w:hAnsi="宋体"/>
                <w:bCs/>
                <w:color w:val="auto"/>
                <w:szCs w:val="21"/>
              </w:rPr>
            </w:pPr>
            <w:r>
              <w:rPr>
                <w:rFonts w:hint="eastAsia" w:ascii="宋体" w:hAnsi="宋体"/>
                <w:bCs/>
                <w:color w:val="auto"/>
                <w:szCs w:val="21"/>
              </w:rPr>
              <w:t>□SC03 批发业和零售业服务</w:t>
            </w:r>
          </w:p>
        </w:tc>
        <w:tc>
          <w:tcPr>
            <w:tcW w:w="3159" w:type="pct"/>
            <w:noWrap w:val="0"/>
            <w:vAlign w:val="center"/>
          </w:tcPr>
          <w:p w14:paraId="2730C8C6">
            <w:pPr>
              <w:spacing w:line="340" w:lineRule="exact"/>
              <w:jc w:val="both"/>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GB/T 27922-2011</w:t>
            </w:r>
            <w:r>
              <w:rPr>
                <w:rFonts w:hint="eastAsia" w:ascii="宋体" w:hAnsi="宋体"/>
                <w:bCs/>
                <w:color w:val="auto"/>
                <w:szCs w:val="21"/>
              </w:rPr>
              <w:t>（售后服务）</w:t>
            </w:r>
          </w:p>
        </w:tc>
      </w:tr>
      <w:tr w14:paraId="43374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327" w:type="pct"/>
            <w:noWrap w:val="0"/>
            <w:vAlign w:val="center"/>
          </w:tcPr>
          <w:p w14:paraId="26D69EB3">
            <w:pPr>
              <w:spacing w:line="340" w:lineRule="exact"/>
              <w:jc w:val="center"/>
              <w:rPr>
                <w:rFonts w:hint="default" w:ascii="宋体" w:hAnsi="宋体"/>
                <w:bCs/>
                <w:color w:val="auto"/>
                <w:szCs w:val="21"/>
                <w:lang w:val="en-US" w:eastAsia="zh-CN"/>
              </w:rPr>
            </w:pPr>
            <w:r>
              <w:rPr>
                <w:rFonts w:hint="eastAsia" w:ascii="宋体" w:hAnsi="宋体"/>
                <w:bCs/>
                <w:color w:val="auto"/>
                <w:szCs w:val="21"/>
                <w:lang w:val="en-US" w:eastAsia="zh-CN"/>
              </w:rPr>
              <w:t>6</w:t>
            </w:r>
          </w:p>
        </w:tc>
        <w:tc>
          <w:tcPr>
            <w:tcW w:w="1513" w:type="pct"/>
            <w:noWrap w:val="0"/>
            <w:vAlign w:val="center"/>
          </w:tcPr>
          <w:p w14:paraId="2C99933C">
            <w:pPr>
              <w:spacing w:line="340" w:lineRule="exact"/>
              <w:jc w:val="both"/>
              <w:rPr>
                <w:rFonts w:ascii="宋体" w:hAnsi="宋体"/>
                <w:bCs/>
                <w:color w:val="auto"/>
                <w:szCs w:val="21"/>
              </w:rPr>
            </w:pPr>
            <w:r>
              <w:rPr>
                <w:rFonts w:ascii="宋体" w:hAnsi="宋体"/>
                <w:bCs/>
                <w:color w:val="auto"/>
                <w:szCs w:val="21"/>
              </w:rPr>
              <w:t>□其他</w:t>
            </w:r>
          </w:p>
        </w:tc>
        <w:tc>
          <w:tcPr>
            <w:tcW w:w="3159" w:type="pct"/>
            <w:noWrap w:val="0"/>
            <w:vAlign w:val="center"/>
          </w:tcPr>
          <w:p w14:paraId="2DB6C9EC">
            <w:pPr>
              <w:spacing w:line="340" w:lineRule="exact"/>
              <w:jc w:val="center"/>
              <w:rPr>
                <w:rFonts w:hint="eastAsia" w:ascii="宋体" w:hAnsi="宋体"/>
                <w:bCs/>
                <w:color w:val="auto"/>
                <w:szCs w:val="21"/>
              </w:rPr>
            </w:pPr>
            <w:r>
              <w:rPr>
                <w:rFonts w:hint="eastAsia" w:ascii="宋体" w:hAnsi="宋体"/>
                <w:bCs/>
                <w:color w:val="auto"/>
                <w:szCs w:val="21"/>
              </w:rPr>
              <w:t xml:space="preserve">     </w:t>
            </w:r>
          </w:p>
        </w:tc>
      </w:tr>
      <w:tr w14:paraId="28F2F2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5000" w:type="pct"/>
            <w:gridSpan w:val="3"/>
            <w:noWrap w:val="0"/>
            <w:vAlign w:val="center"/>
          </w:tcPr>
          <w:p w14:paraId="7DE4F645">
            <w:pPr>
              <w:spacing w:line="340" w:lineRule="exact"/>
              <w:jc w:val="center"/>
              <w:rPr>
                <w:rFonts w:hint="eastAsia" w:ascii="宋体" w:hAnsi="宋体"/>
                <w:bCs/>
                <w:color w:val="auto"/>
                <w:szCs w:val="21"/>
              </w:rPr>
            </w:pPr>
            <w:r>
              <w:rPr>
                <w:rFonts w:ascii="宋体" w:hAnsi="宋体"/>
                <w:bCs/>
                <w:color w:val="auto"/>
                <w:szCs w:val="21"/>
              </w:rPr>
              <w:t>甲方按上述标准和适用的法律法规建立</w:t>
            </w:r>
            <w:r>
              <w:rPr>
                <w:rFonts w:hint="eastAsia" w:ascii="宋体" w:hAnsi="宋体"/>
                <w:bCs/>
                <w:color w:val="auto"/>
                <w:szCs w:val="21"/>
              </w:rPr>
              <w:t>了</w:t>
            </w:r>
            <w:r>
              <w:rPr>
                <w:rFonts w:ascii="宋体" w:hAnsi="宋体"/>
                <w:bCs/>
                <w:color w:val="auto"/>
                <w:szCs w:val="21"/>
              </w:rPr>
              <w:t>有效</w:t>
            </w:r>
            <w:r>
              <w:rPr>
                <w:rFonts w:hint="eastAsia" w:ascii="宋体" w:hAnsi="宋体"/>
                <w:bCs/>
                <w:color w:val="auto"/>
                <w:szCs w:val="21"/>
              </w:rPr>
              <w:t>的管理</w:t>
            </w:r>
            <w:r>
              <w:rPr>
                <w:rFonts w:ascii="宋体" w:hAnsi="宋体"/>
                <w:bCs/>
                <w:color w:val="auto"/>
                <w:szCs w:val="21"/>
              </w:rPr>
              <w:t>体系文件</w:t>
            </w:r>
            <w:r>
              <w:rPr>
                <w:rFonts w:hint="eastAsia" w:ascii="宋体" w:hAnsi="宋体"/>
                <w:bCs/>
                <w:color w:val="auto"/>
                <w:szCs w:val="21"/>
              </w:rPr>
              <w:t>，且运行三个月以上。</w:t>
            </w:r>
          </w:p>
        </w:tc>
      </w:tr>
    </w:tbl>
    <w:p w14:paraId="3D5523AE">
      <w:pPr>
        <w:pStyle w:val="4"/>
        <w:spacing w:line="360" w:lineRule="auto"/>
        <w:ind w:left="0" w:leftChars="0" w:right="42" w:rightChars="20" w:firstLine="420" w:firstLineChars="200"/>
        <w:rPr>
          <w:rFonts w:hint="default" w:hAnsi="宋体"/>
          <w:bCs/>
          <w:color w:val="auto"/>
          <w:szCs w:val="21"/>
          <w:u w:val="single"/>
          <w:lang w:val="en-US" w:eastAsia="zh-CN"/>
        </w:rPr>
      </w:pPr>
      <w:r>
        <w:rPr>
          <w:rFonts w:hint="eastAsia" w:hAnsi="宋体"/>
          <w:bCs/>
          <w:color w:val="auto"/>
          <w:szCs w:val="21"/>
          <w:u w:val="none"/>
          <w:lang w:val="en-US" w:eastAsia="zh-CN"/>
        </w:rPr>
        <w:t>1.3申请认证范围：</w:t>
      </w:r>
      <w:r>
        <w:rPr>
          <w:rFonts w:hint="eastAsia" w:hAnsi="宋体"/>
          <w:bCs/>
          <w:color w:val="auto"/>
          <w:szCs w:val="21"/>
          <w:u w:val="single"/>
          <w:lang w:val="en-US" w:eastAsia="zh-CN"/>
        </w:rPr>
        <w:t xml:space="preserve">                           </w:t>
      </w:r>
    </w:p>
    <w:p w14:paraId="4CAB52F0">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1.4认证覆盖的总人数：</w:t>
      </w:r>
      <w:r>
        <w:rPr>
          <w:rFonts w:hint="eastAsia" w:hAnsi="宋体"/>
          <w:bCs/>
          <w:color w:val="auto"/>
          <w:szCs w:val="21"/>
          <w:u w:val="single"/>
          <w:lang w:val="en-US" w:eastAsia="zh-CN"/>
        </w:rPr>
        <w:t xml:space="preserve">    </w:t>
      </w:r>
      <w:r>
        <w:rPr>
          <w:rFonts w:hint="eastAsia" w:hAnsi="宋体"/>
          <w:bCs/>
          <w:color w:val="auto"/>
          <w:szCs w:val="21"/>
          <w:u w:val="none"/>
          <w:lang w:val="en-US" w:eastAsia="zh-CN"/>
        </w:rPr>
        <w:t>人 ；</w:t>
      </w:r>
    </w:p>
    <w:p w14:paraId="64AB7F05">
      <w:pPr>
        <w:pStyle w:val="7"/>
        <w:widowControl/>
        <w:ind w:left="420" w:leftChars="0" w:firstLine="0" w:firstLineChars="0"/>
        <w:jc w:val="both"/>
        <w:rPr>
          <w:rFonts w:hint="default" w:ascii="宋体" w:hAnsi="宋体" w:cs="宋体" w:eastAsiaTheme="minorEastAsia"/>
          <w:bCs/>
          <w:color w:val="auto"/>
          <w:kern w:val="2"/>
          <w:sz w:val="21"/>
          <w:szCs w:val="21"/>
          <w:u w:val="single"/>
          <w:lang w:val="en-US" w:eastAsia="zh-CN" w:bidi="ar-SA"/>
        </w:rPr>
      </w:pPr>
      <w:r>
        <w:rPr>
          <w:rFonts w:hint="eastAsia" w:hAnsi="宋体"/>
          <w:bCs/>
          <w:color w:val="auto"/>
          <w:szCs w:val="21"/>
          <w:u w:val="none"/>
          <w:lang w:val="en-US" w:eastAsia="zh-CN"/>
        </w:rPr>
        <w:t>1.5审核区域与场所：</w:t>
      </w:r>
      <w:r>
        <w:rPr>
          <w:rFonts w:hint="eastAsia" w:ascii="宋体" w:hAnsi="宋体" w:cs="宋体" w:eastAsiaTheme="minorEastAsia"/>
          <w:bCs/>
          <w:color w:val="auto"/>
          <w:kern w:val="2"/>
          <w:sz w:val="21"/>
          <w:szCs w:val="21"/>
          <w:u w:val="single"/>
          <w:lang w:val="en-US" w:eastAsia="zh-CN" w:bidi="ar-SA"/>
        </w:rPr>
        <w:t xml:space="preserve"> </w:t>
      </w:r>
      <w:r>
        <w:rPr>
          <w:rFonts w:hint="eastAsia" w:ascii="宋体" w:hAnsi="宋体" w:cs="宋体"/>
          <w:bCs/>
          <w:color w:val="auto"/>
          <w:kern w:val="2"/>
          <w:sz w:val="21"/>
          <w:szCs w:val="21"/>
          <w:u w:val="single"/>
          <w:lang w:val="en-US" w:eastAsia="zh-CN" w:bidi="ar-SA"/>
        </w:rPr>
        <w:t xml:space="preserve">                            </w:t>
      </w:r>
    </w:p>
    <w:p w14:paraId="46251319">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 xml:space="preserve">1.6希望现场认证审核日期为 </w:t>
      </w:r>
      <w:r>
        <w:rPr>
          <w:rFonts w:hint="eastAsia" w:hAnsi="宋体"/>
          <w:bCs/>
          <w:color w:val="auto"/>
          <w:szCs w:val="21"/>
          <w:u w:val="single"/>
          <w:lang w:val="en-US" w:eastAsia="zh-CN"/>
        </w:rPr>
        <w:t xml:space="preserve">     </w:t>
      </w:r>
      <w:r>
        <w:rPr>
          <w:rFonts w:hint="eastAsia" w:hAnsi="宋体"/>
          <w:bCs/>
          <w:color w:val="auto"/>
          <w:szCs w:val="21"/>
          <w:u w:val="none"/>
          <w:lang w:val="en-US" w:eastAsia="zh-CN"/>
        </w:rPr>
        <w:t>年</w:t>
      </w:r>
      <w:r>
        <w:rPr>
          <w:rFonts w:hint="eastAsia" w:hAnsi="宋体"/>
          <w:bCs/>
          <w:color w:val="auto"/>
          <w:szCs w:val="21"/>
          <w:u w:val="single"/>
          <w:lang w:val="en-US" w:eastAsia="zh-CN"/>
        </w:rPr>
        <w:t xml:space="preserve">      </w:t>
      </w:r>
      <w:r>
        <w:rPr>
          <w:rFonts w:hint="eastAsia" w:hAnsi="宋体"/>
          <w:bCs/>
          <w:color w:val="auto"/>
          <w:szCs w:val="21"/>
          <w:u w:val="none"/>
          <w:lang w:val="en-US" w:eastAsia="zh-CN"/>
        </w:rPr>
        <w:t>月</w:t>
      </w:r>
      <w:r>
        <w:rPr>
          <w:rFonts w:hint="eastAsia" w:hAnsi="宋体"/>
          <w:bCs/>
          <w:color w:val="auto"/>
          <w:szCs w:val="21"/>
          <w:u w:val="single"/>
          <w:lang w:val="en-US" w:eastAsia="zh-CN"/>
        </w:rPr>
        <w:t xml:space="preserve">   </w:t>
      </w:r>
      <w:r>
        <w:rPr>
          <w:rFonts w:hint="eastAsia" w:hAnsi="宋体"/>
          <w:bCs/>
          <w:color w:val="auto"/>
          <w:szCs w:val="21"/>
          <w:u w:val="none"/>
          <w:lang w:val="en-US" w:eastAsia="zh-CN"/>
        </w:rPr>
        <w:t>日，以双方最终协商一致的时间为准；</w:t>
      </w:r>
    </w:p>
    <w:p w14:paraId="1673A50F">
      <w:pPr>
        <w:pStyle w:val="4"/>
        <w:spacing w:line="360" w:lineRule="auto"/>
        <w:ind w:left="0" w:leftChars="0" w:right="42" w:rightChars="20" w:firstLine="420" w:firstLineChars="200"/>
        <w:rPr>
          <w:rFonts w:hint="eastAsia" w:hAnsi="宋体"/>
          <w:bCs/>
          <w:color w:val="auto"/>
          <w:szCs w:val="21"/>
          <w:u w:val="single"/>
          <w:lang w:val="en-US" w:eastAsia="zh-CN"/>
        </w:rPr>
      </w:pPr>
      <w:r>
        <w:rPr>
          <w:rFonts w:hint="eastAsia" w:hAnsi="宋体"/>
          <w:bCs/>
          <w:color w:val="auto"/>
          <w:szCs w:val="21"/>
          <w:u w:val="none"/>
          <w:lang w:val="en-US" w:eastAsia="zh-CN"/>
        </w:rPr>
        <w:t xml:space="preserve">1.7 其它特殊要求:  </w:t>
      </w:r>
      <w:r>
        <w:rPr>
          <w:rFonts w:hint="eastAsia" w:hAnsi="宋体"/>
          <w:bCs/>
          <w:color w:val="auto"/>
          <w:szCs w:val="21"/>
          <w:u w:val="single"/>
          <w:lang w:val="en-US" w:eastAsia="zh-CN"/>
        </w:rPr>
        <w:t xml:space="preserve">                                                           </w:t>
      </w:r>
    </w:p>
    <w:p w14:paraId="5661C460">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二、认证费用付款方式</w:t>
      </w:r>
    </w:p>
    <w:p w14:paraId="67D10785">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1认证费用</w:t>
      </w:r>
    </w:p>
    <w:p w14:paraId="5DAFCF9F">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1）初次认证</w:t>
      </w:r>
    </w:p>
    <w:p w14:paraId="45031BD8">
      <w:pPr>
        <w:pStyle w:val="4"/>
        <w:numPr>
          <w:ilvl w:val="0"/>
          <w:numId w:val="0"/>
        </w:numPr>
        <w:spacing w:line="360" w:lineRule="auto"/>
        <w:ind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认证、审核</w:t>
      </w:r>
      <w:r>
        <w:rPr>
          <w:rFonts w:hint="default" w:hAnsi="宋体"/>
          <w:bCs/>
          <w:color w:val="auto"/>
          <w:szCs w:val="21"/>
          <w:highlight w:val="none"/>
          <w:u w:val="none"/>
          <w:lang w:val="en-US" w:eastAsia="zh-CN"/>
        </w:rPr>
        <w:t>费共计：</w:t>
      </w:r>
      <w:r>
        <w:rPr>
          <w:rFonts w:hint="eastAsia" w:hAnsi="宋体"/>
          <w:bCs/>
          <w:color w:val="auto"/>
          <w:szCs w:val="21"/>
          <w:highlight w:val="none"/>
          <w:u w:val="single"/>
          <w:lang w:val="en-US" w:eastAsia="zh-CN"/>
        </w:rPr>
        <w:t xml:space="preserve">    </w:t>
      </w:r>
      <w:r>
        <w:rPr>
          <w:rFonts w:hint="default" w:hAnsi="宋体"/>
          <w:bCs/>
          <w:color w:val="auto"/>
          <w:szCs w:val="21"/>
          <w:highlight w:val="none"/>
          <w:u w:val="none"/>
          <w:lang w:val="en-US" w:eastAsia="zh-CN"/>
        </w:rPr>
        <w:t>元（大写人民币</w:t>
      </w:r>
      <w:r>
        <w:rPr>
          <w:rFonts w:hint="eastAsia" w:hAnsi="宋体"/>
          <w:bCs/>
          <w:color w:val="auto"/>
          <w:szCs w:val="21"/>
          <w:highlight w:val="none"/>
          <w:u w:val="none"/>
          <w:lang w:val="en-US" w:eastAsia="zh-CN"/>
        </w:rPr>
        <w:t>：</w:t>
      </w:r>
      <w:r>
        <w:rPr>
          <w:rFonts w:hint="eastAsia"/>
          <w:color w:val="auto"/>
          <w:sz w:val="22"/>
          <w:szCs w:val="22"/>
          <w:highlight w:val="none"/>
          <w:u w:val="single"/>
        </w:rPr>
        <w:t xml:space="preserve">  </w:t>
      </w:r>
      <w:r>
        <w:rPr>
          <w:rFonts w:hint="eastAsia"/>
          <w:color w:val="auto"/>
          <w:sz w:val="22"/>
          <w:szCs w:val="22"/>
          <w:highlight w:val="none"/>
        </w:rPr>
        <w:t>拾</w:t>
      </w:r>
      <w:r>
        <w:rPr>
          <w:color w:val="auto"/>
          <w:sz w:val="22"/>
          <w:szCs w:val="22"/>
          <w:highlight w:val="none"/>
          <w:u w:val="single"/>
        </w:rPr>
        <w:t xml:space="preserve"> </w:t>
      </w:r>
      <w:r>
        <w:rPr>
          <w:rFonts w:hint="eastAsia"/>
          <w:color w:val="auto"/>
          <w:sz w:val="22"/>
          <w:szCs w:val="22"/>
          <w:highlight w:val="none"/>
          <w:u w:val="single"/>
        </w:rPr>
        <w:t xml:space="preserve"> </w:t>
      </w:r>
      <w:r>
        <w:rPr>
          <w:rFonts w:hint="eastAsia"/>
          <w:color w:val="auto"/>
          <w:sz w:val="22"/>
          <w:szCs w:val="22"/>
          <w:highlight w:val="none"/>
        </w:rPr>
        <w:t>万</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highlight w:val="none"/>
        </w:rPr>
        <w:t>仟</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highlight w:val="none"/>
        </w:rPr>
        <w:t>佰</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r>
        <w:rPr>
          <w:rFonts w:hint="eastAsia"/>
          <w:color w:val="auto"/>
          <w:sz w:val="22"/>
          <w:szCs w:val="22"/>
          <w:highlight w:val="none"/>
        </w:rPr>
        <w:t>拾</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rPr>
        <w:t>元</w:t>
      </w:r>
      <w:r>
        <w:rPr>
          <w:rFonts w:hint="default" w:hAnsi="宋体"/>
          <w:bCs/>
          <w:color w:val="auto"/>
          <w:szCs w:val="21"/>
          <w:u w:val="none"/>
          <w:lang w:val="en-US" w:eastAsia="zh-CN"/>
        </w:rPr>
        <w:t>）。</w:t>
      </w:r>
    </w:p>
    <w:p w14:paraId="41460B0B">
      <w:pPr>
        <w:pStyle w:val="4"/>
        <w:numPr>
          <w:ilvl w:val="0"/>
          <w:numId w:val="3"/>
        </w:numPr>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每年监督认证、审核费用：</w:t>
      </w:r>
    </w:p>
    <w:p w14:paraId="0C464CBB">
      <w:pPr>
        <w:pStyle w:val="4"/>
        <w:numPr>
          <w:ilvl w:val="0"/>
          <w:numId w:val="0"/>
        </w:numPr>
        <w:spacing w:line="360" w:lineRule="auto"/>
        <w:ind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共计：</w:t>
      </w:r>
      <w:r>
        <w:rPr>
          <w:rFonts w:hint="eastAsia" w:hAnsi="宋体"/>
          <w:bCs/>
          <w:color w:val="auto"/>
          <w:szCs w:val="21"/>
          <w:u w:val="single"/>
          <w:lang w:val="en-US" w:eastAsia="zh-CN"/>
        </w:rPr>
        <w:t xml:space="preserve">         </w:t>
      </w:r>
      <w:r>
        <w:rPr>
          <w:rFonts w:hint="default" w:hAnsi="宋体"/>
          <w:bCs/>
          <w:color w:val="auto"/>
          <w:szCs w:val="21"/>
          <w:u w:val="none"/>
          <w:lang w:val="en-US" w:eastAsia="zh-CN"/>
        </w:rPr>
        <w:t>元（大写人民币</w:t>
      </w:r>
      <w:r>
        <w:rPr>
          <w:rFonts w:hint="eastAsia" w:hAnsi="宋体"/>
          <w:bCs/>
          <w:color w:val="auto"/>
          <w:szCs w:val="21"/>
          <w:u w:val="none"/>
          <w:lang w:val="en-US" w:eastAsia="zh-CN"/>
        </w:rPr>
        <w:t xml:space="preserve">： </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rPr>
        <w:t>拾</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rPr>
        <w:t>万</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highlight w:val="none"/>
        </w:rPr>
        <w:t>仟</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highlight w:val="none"/>
        </w:rPr>
        <w:t>佰</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rFonts w:hint="eastAsia"/>
          <w:color w:val="auto"/>
          <w:sz w:val="22"/>
          <w:szCs w:val="22"/>
          <w:highlight w:val="none"/>
          <w:u w:val="single"/>
        </w:rPr>
        <w:t xml:space="preserve"> </w:t>
      </w:r>
      <w:r>
        <w:rPr>
          <w:rFonts w:hint="eastAsia"/>
          <w:color w:val="auto"/>
          <w:sz w:val="22"/>
          <w:szCs w:val="22"/>
          <w:highlight w:val="none"/>
        </w:rPr>
        <w:t>拾</w:t>
      </w:r>
      <w:r>
        <w:rPr>
          <w:color w:val="auto"/>
          <w:sz w:val="22"/>
          <w:szCs w:val="22"/>
          <w:highlight w:val="none"/>
          <w:u w:val="single"/>
        </w:rPr>
        <w:t xml:space="preserve"> </w:t>
      </w:r>
      <w:r>
        <w:rPr>
          <w:rFonts w:hint="eastAsia"/>
          <w:color w:val="auto"/>
          <w:sz w:val="22"/>
          <w:szCs w:val="22"/>
          <w:highlight w:val="none"/>
          <w:u w:val="single"/>
          <w:lang w:val="en-US" w:eastAsia="zh-CN"/>
        </w:rPr>
        <w:t xml:space="preserve">  </w:t>
      </w:r>
      <w:r>
        <w:rPr>
          <w:color w:val="auto"/>
          <w:sz w:val="22"/>
          <w:szCs w:val="22"/>
          <w:highlight w:val="none"/>
          <w:u w:val="single"/>
        </w:rPr>
        <w:t xml:space="preserve"> </w:t>
      </w:r>
      <w:r>
        <w:rPr>
          <w:rFonts w:hint="eastAsia"/>
          <w:color w:val="auto"/>
          <w:sz w:val="22"/>
          <w:szCs w:val="22"/>
        </w:rPr>
        <w:t>元</w:t>
      </w:r>
      <w:r>
        <w:rPr>
          <w:rFonts w:hint="default" w:hAnsi="宋体"/>
          <w:bCs/>
          <w:color w:val="auto"/>
          <w:szCs w:val="21"/>
          <w:u w:val="none"/>
          <w:lang w:val="en-US" w:eastAsia="zh-CN"/>
        </w:rPr>
        <w:t>）。</w:t>
      </w:r>
    </w:p>
    <w:p w14:paraId="2D903350">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3）再认证</w:t>
      </w:r>
    </w:p>
    <w:p w14:paraId="36C30984">
      <w:pPr>
        <w:pStyle w:val="4"/>
        <w:numPr>
          <w:ilvl w:val="0"/>
          <w:numId w:val="0"/>
        </w:numPr>
        <w:spacing w:line="360" w:lineRule="auto"/>
        <w:ind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共计：</w:t>
      </w:r>
      <w:r>
        <w:rPr>
          <w:rFonts w:hint="default" w:hAnsi="宋体"/>
          <w:bCs/>
          <w:color w:val="auto"/>
          <w:szCs w:val="21"/>
          <w:u w:val="single"/>
          <w:lang w:val="en-US" w:eastAsia="zh-CN"/>
        </w:rPr>
        <w:t xml:space="preserve">  </w:t>
      </w:r>
      <w:r>
        <w:rPr>
          <w:rFonts w:hint="eastAsia" w:hAnsi="宋体"/>
          <w:bCs/>
          <w:color w:val="auto"/>
          <w:szCs w:val="21"/>
          <w:u w:val="single"/>
          <w:lang w:val="en-US" w:eastAsia="zh-CN"/>
        </w:rPr>
        <w:t xml:space="preserve">   /    </w:t>
      </w:r>
      <w:r>
        <w:rPr>
          <w:rFonts w:hint="default" w:hAnsi="宋体"/>
          <w:bCs/>
          <w:color w:val="auto"/>
          <w:szCs w:val="21"/>
          <w:u w:val="none"/>
          <w:lang w:val="en-US" w:eastAsia="zh-CN"/>
        </w:rPr>
        <w:t>元（大写人民币</w:t>
      </w:r>
      <w:r>
        <w:rPr>
          <w:rFonts w:hint="eastAsia" w:hAnsi="宋体"/>
          <w:bCs/>
          <w:color w:val="auto"/>
          <w:szCs w:val="21"/>
          <w:u w:val="none"/>
          <w:lang w:val="en-US" w:eastAsia="zh-CN"/>
        </w:rPr>
        <w:t>：</w:t>
      </w:r>
      <w:r>
        <w:rPr>
          <w:rFonts w:hint="eastAsia"/>
          <w:color w:val="auto"/>
          <w:sz w:val="22"/>
          <w:szCs w:val="22"/>
          <w:u w:val="single"/>
        </w:rPr>
        <w:t xml:space="preserve"> </w:t>
      </w:r>
      <w:r>
        <w:rPr>
          <w:color w:val="auto"/>
          <w:sz w:val="22"/>
          <w:szCs w:val="22"/>
          <w:u w:val="single"/>
        </w:rPr>
        <w:t xml:space="preserve">   </w:t>
      </w:r>
      <w:r>
        <w:rPr>
          <w:rFonts w:hint="eastAsia"/>
          <w:color w:val="auto"/>
          <w:sz w:val="22"/>
          <w:szCs w:val="22"/>
          <w:u w:val="single"/>
        </w:rPr>
        <w:t xml:space="preserve"> </w:t>
      </w:r>
      <w:r>
        <w:rPr>
          <w:rFonts w:hint="eastAsia"/>
          <w:color w:val="auto"/>
          <w:sz w:val="22"/>
          <w:szCs w:val="22"/>
        </w:rPr>
        <w:t>拾</w:t>
      </w:r>
      <w:r>
        <w:rPr>
          <w:color w:val="auto"/>
          <w:sz w:val="22"/>
          <w:szCs w:val="22"/>
          <w:u w:val="single"/>
        </w:rPr>
        <w:t xml:space="preserve">   </w:t>
      </w:r>
      <w:r>
        <w:rPr>
          <w:rFonts w:hint="eastAsia"/>
          <w:color w:val="auto"/>
          <w:sz w:val="22"/>
          <w:szCs w:val="22"/>
          <w:u w:val="single"/>
        </w:rPr>
        <w:t xml:space="preserve"> </w:t>
      </w:r>
      <w:r>
        <w:rPr>
          <w:rFonts w:hint="eastAsia"/>
          <w:color w:val="auto"/>
          <w:sz w:val="22"/>
          <w:szCs w:val="22"/>
        </w:rPr>
        <w:t>万</w:t>
      </w:r>
      <w:r>
        <w:rPr>
          <w:color w:val="auto"/>
          <w:sz w:val="22"/>
          <w:szCs w:val="22"/>
          <w:u w:val="single"/>
        </w:rPr>
        <w:t xml:space="preserve">   </w:t>
      </w:r>
      <w:r>
        <w:rPr>
          <w:rFonts w:hint="eastAsia"/>
          <w:color w:val="auto"/>
          <w:sz w:val="22"/>
          <w:szCs w:val="22"/>
          <w:u w:val="single"/>
        </w:rPr>
        <w:t xml:space="preserve"> </w:t>
      </w:r>
      <w:r>
        <w:rPr>
          <w:rFonts w:hint="eastAsia"/>
          <w:color w:val="auto"/>
          <w:sz w:val="22"/>
          <w:szCs w:val="22"/>
        </w:rPr>
        <w:t>仟</w:t>
      </w:r>
      <w:r>
        <w:rPr>
          <w:color w:val="auto"/>
          <w:sz w:val="22"/>
          <w:szCs w:val="22"/>
          <w:u w:val="single"/>
        </w:rPr>
        <w:t xml:space="preserve">   </w:t>
      </w:r>
      <w:r>
        <w:rPr>
          <w:rFonts w:hint="eastAsia"/>
          <w:color w:val="auto"/>
          <w:sz w:val="22"/>
          <w:szCs w:val="22"/>
          <w:u w:val="single"/>
        </w:rPr>
        <w:t xml:space="preserve"> </w:t>
      </w:r>
      <w:r>
        <w:rPr>
          <w:rFonts w:hint="eastAsia"/>
          <w:color w:val="auto"/>
          <w:sz w:val="22"/>
          <w:szCs w:val="22"/>
        </w:rPr>
        <w:t>佰</w:t>
      </w:r>
      <w:r>
        <w:rPr>
          <w:color w:val="auto"/>
          <w:sz w:val="22"/>
          <w:szCs w:val="22"/>
          <w:u w:val="single"/>
        </w:rPr>
        <w:t xml:space="preserve">  </w:t>
      </w:r>
      <w:r>
        <w:rPr>
          <w:rFonts w:hint="eastAsia"/>
          <w:color w:val="auto"/>
          <w:sz w:val="22"/>
          <w:szCs w:val="22"/>
          <w:u w:val="single"/>
        </w:rPr>
        <w:t xml:space="preserve"> </w:t>
      </w:r>
      <w:r>
        <w:rPr>
          <w:color w:val="auto"/>
          <w:sz w:val="22"/>
          <w:szCs w:val="22"/>
          <w:u w:val="single"/>
        </w:rPr>
        <w:t xml:space="preserve"> </w:t>
      </w:r>
      <w:r>
        <w:rPr>
          <w:rFonts w:hint="eastAsia"/>
          <w:color w:val="auto"/>
          <w:sz w:val="22"/>
          <w:szCs w:val="22"/>
        </w:rPr>
        <w:t>拾</w:t>
      </w:r>
      <w:r>
        <w:rPr>
          <w:color w:val="auto"/>
          <w:sz w:val="22"/>
          <w:szCs w:val="22"/>
          <w:u w:val="single"/>
        </w:rPr>
        <w:t xml:space="preserve">    </w:t>
      </w:r>
      <w:r>
        <w:rPr>
          <w:rFonts w:hint="eastAsia"/>
          <w:color w:val="auto"/>
          <w:sz w:val="22"/>
          <w:szCs w:val="22"/>
        </w:rPr>
        <w:t>元</w:t>
      </w:r>
      <w:r>
        <w:rPr>
          <w:rFonts w:hint="default" w:hAnsi="宋体"/>
          <w:bCs/>
          <w:color w:val="auto"/>
          <w:szCs w:val="21"/>
          <w:u w:val="none"/>
          <w:lang w:val="en-US" w:eastAsia="zh-CN"/>
        </w:rPr>
        <w:t>）。</w:t>
      </w:r>
    </w:p>
    <w:p w14:paraId="0C1545AE">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4</w:t>
      </w:r>
      <w:r>
        <w:rPr>
          <w:rFonts w:hint="default" w:hAnsi="宋体"/>
          <w:bCs/>
          <w:color w:val="auto"/>
          <w:szCs w:val="21"/>
          <w:u w:val="none"/>
          <w:lang w:val="en-US" w:eastAsia="zh-CN"/>
        </w:rPr>
        <w:t>）其他需要补充说明的情况：</w:t>
      </w:r>
      <w:r>
        <w:rPr>
          <w:rFonts w:hint="eastAsia" w:hAnsi="宋体"/>
          <w:bCs/>
          <w:color w:val="auto"/>
          <w:szCs w:val="21"/>
          <w:u w:val="single"/>
          <w:lang w:val="en-US" w:eastAsia="zh-CN"/>
        </w:rPr>
        <w:t xml:space="preserve">                                             </w:t>
      </w:r>
      <w:r>
        <w:rPr>
          <w:rFonts w:hint="eastAsia" w:hAnsi="宋体"/>
          <w:bCs/>
          <w:color w:val="auto"/>
          <w:szCs w:val="21"/>
          <w:u w:val="none"/>
          <w:lang w:val="en-US" w:eastAsia="zh-CN"/>
        </w:rPr>
        <w:t>；</w:t>
      </w:r>
      <w:r>
        <w:rPr>
          <w:rFonts w:hint="default" w:hAnsi="宋体"/>
          <w:bCs/>
          <w:color w:val="auto"/>
          <w:szCs w:val="21"/>
          <w:u w:val="none"/>
          <w:lang w:val="en-US" w:eastAsia="zh-CN"/>
        </w:rPr>
        <w:t xml:space="preserve">               </w:t>
      </w:r>
    </w:p>
    <w:p w14:paraId="0B638F1B">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注：初次审核及再认证审核的费用均包含相应体系中英文证书各一张；</w:t>
      </w:r>
    </w:p>
    <w:p w14:paraId="36A30941">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如需加印证书副本，每张伍拾元，共计：¥</w:t>
      </w:r>
      <w:r>
        <w:rPr>
          <w:rFonts w:hint="default" w:hAnsi="宋体"/>
          <w:bCs/>
          <w:color w:val="auto"/>
          <w:szCs w:val="21"/>
          <w:u w:val="single"/>
          <w:lang w:val="en-US" w:eastAsia="zh-CN"/>
        </w:rPr>
        <w:t xml:space="preserve">      </w:t>
      </w:r>
      <w:r>
        <w:rPr>
          <w:rFonts w:hint="default" w:hAnsi="宋体"/>
          <w:bCs/>
          <w:color w:val="auto"/>
          <w:szCs w:val="21"/>
          <w:u w:val="none"/>
          <w:lang w:val="en-US" w:eastAsia="zh-CN"/>
        </w:rPr>
        <w:t>元。其中：中文证书</w:t>
      </w:r>
      <w:r>
        <w:rPr>
          <w:rFonts w:hint="default" w:hAnsi="宋体"/>
          <w:bCs/>
          <w:color w:val="auto"/>
          <w:szCs w:val="21"/>
          <w:u w:val="single"/>
          <w:lang w:val="en-US" w:eastAsia="zh-CN"/>
        </w:rPr>
        <w:t xml:space="preserve">      </w:t>
      </w:r>
      <w:r>
        <w:rPr>
          <w:rFonts w:hint="default" w:hAnsi="宋体"/>
          <w:bCs/>
          <w:color w:val="auto"/>
          <w:szCs w:val="21"/>
          <w:u w:val="none"/>
          <w:lang w:val="en-US" w:eastAsia="zh-CN"/>
        </w:rPr>
        <w:t>张，英文证书</w:t>
      </w:r>
      <w:r>
        <w:rPr>
          <w:rFonts w:hint="default" w:hAnsi="宋体"/>
          <w:bCs/>
          <w:color w:val="auto"/>
          <w:szCs w:val="21"/>
          <w:u w:val="single"/>
          <w:lang w:val="en-US" w:eastAsia="zh-CN"/>
        </w:rPr>
        <w:t xml:space="preserve">    </w:t>
      </w:r>
      <w:r>
        <w:rPr>
          <w:rFonts w:hint="default" w:hAnsi="宋体"/>
          <w:bCs/>
          <w:color w:val="auto"/>
          <w:szCs w:val="21"/>
          <w:u w:val="none"/>
          <w:lang w:val="en-US" w:eastAsia="zh-CN"/>
        </w:rPr>
        <w:t xml:space="preserve"> 张；</w:t>
      </w:r>
    </w:p>
    <w:p w14:paraId="577A8307">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2.</w:t>
      </w:r>
      <w:r>
        <w:rPr>
          <w:rFonts w:hint="default" w:hAnsi="宋体"/>
          <w:bCs/>
          <w:color w:val="auto"/>
          <w:szCs w:val="21"/>
          <w:u w:val="none"/>
          <w:lang w:val="en-US" w:eastAsia="zh-CN"/>
        </w:rPr>
        <w:t>付款方式</w:t>
      </w:r>
    </w:p>
    <w:p w14:paraId="0CA9CA6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  </w:t>
      </w:r>
      <w:r>
        <w:rPr>
          <w:rFonts w:hint="eastAsia" w:hAnsi="宋体"/>
          <w:bCs/>
          <w:color w:val="auto"/>
          <w:szCs w:val="21"/>
          <w:u w:val="none"/>
          <w:lang w:val="en-US" w:eastAsia="zh-CN"/>
        </w:rPr>
        <w:t>1）</w:t>
      </w:r>
      <w:r>
        <w:rPr>
          <w:rFonts w:hint="default" w:hAnsi="宋体"/>
          <w:bCs/>
          <w:color w:val="auto"/>
          <w:szCs w:val="21"/>
          <w:u w:val="none"/>
          <w:lang w:val="en-US" w:eastAsia="zh-CN"/>
        </w:rPr>
        <w:t xml:space="preserve">初审费用：该费用应于合同签订一周内支付合同金额 50%，其余款项应于现场审核结束一周内付 清。由于现场审核未通过而导致产生的额外审核费用由甲方承担，且在乙方下次实施现场审核前 一周内一次性支付。 </w:t>
      </w:r>
    </w:p>
    <w:p w14:paraId="3A55C498">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2）</w:t>
      </w:r>
      <w:r>
        <w:rPr>
          <w:rFonts w:hint="default" w:hAnsi="宋体"/>
          <w:bCs/>
          <w:color w:val="auto"/>
          <w:szCs w:val="21"/>
          <w:u w:val="none"/>
          <w:lang w:val="en-US" w:eastAsia="zh-CN"/>
        </w:rPr>
        <w:t>监督/再认证费用付款方式：</w:t>
      </w:r>
    </w:p>
    <w:p w14:paraId="5DA08CE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监督/再认证费用：甲方应在监督/再认证审核前向乙方支付监督/再认证费用，乙方按本合同有关监督/再认证总费用金额发出付费通知单，甲方应在收到付费通知单后 5 个工作日内付款。 由于现场审核未通过而导致产生的额外审核费用由甲方承担，且在乙方下次实施现场审核前一周内一次性支付。 </w:t>
      </w:r>
    </w:p>
    <w:p w14:paraId="45FD2C42">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3）</w:t>
      </w:r>
      <w:r>
        <w:rPr>
          <w:rFonts w:hint="default" w:hAnsi="宋体"/>
          <w:bCs/>
          <w:color w:val="auto"/>
          <w:szCs w:val="21"/>
          <w:u w:val="none"/>
          <w:lang w:val="en-US" w:eastAsia="zh-CN"/>
        </w:rPr>
        <w:t xml:space="preserve">如果甲方获证之后管理体系发生变更（包括但不限于企业名称、地址、规模、管理体系覆盖的范 围或人数的扩大和缩小等），实际费用会适当增减，具体金额按实际状况重新核算。 </w:t>
      </w:r>
    </w:p>
    <w:p w14:paraId="76539AE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3．其他费用：乙方派出人员进行现场审核所发生的食、宿、交通等费用按实际支出由甲方承担。</w:t>
      </w:r>
    </w:p>
    <w:p w14:paraId="35DD371D">
      <w:pPr>
        <w:pStyle w:val="4"/>
        <w:spacing w:line="360" w:lineRule="auto"/>
        <w:ind w:left="0" w:leftChars="0" w:right="42" w:rightChars="20" w:firstLine="422" w:firstLineChars="200"/>
        <w:rPr>
          <w:rFonts w:hint="default" w:hAnsi="宋体"/>
          <w:bCs/>
          <w:color w:val="auto"/>
          <w:szCs w:val="21"/>
          <w:u w:val="none"/>
          <w:lang w:val="en-US" w:eastAsia="zh-CN"/>
        </w:rPr>
      </w:pPr>
      <w:r>
        <w:rPr>
          <w:rFonts w:hint="default" w:hAnsi="宋体"/>
          <w:b/>
          <w:bCs w:val="0"/>
          <w:color w:val="auto"/>
          <w:szCs w:val="21"/>
          <w:u w:val="none"/>
          <w:lang w:val="en-US" w:eastAsia="zh-CN"/>
        </w:rPr>
        <w:t>三、双方权利和义务</w:t>
      </w:r>
      <w:r>
        <w:rPr>
          <w:rFonts w:hint="default" w:hAnsi="宋体"/>
          <w:bCs/>
          <w:color w:val="auto"/>
          <w:szCs w:val="21"/>
          <w:u w:val="none"/>
          <w:lang w:val="en-US" w:eastAsia="zh-CN"/>
        </w:rPr>
        <w:t xml:space="preserve"> </w:t>
      </w:r>
    </w:p>
    <w:p w14:paraId="4C5EA1EA">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本合同未特殊约定的，甲乙双方遵守《中华人民共和国认证认可条例》、《认证机构管理办法》和国际认证认可规则等规定。 </w:t>
      </w:r>
    </w:p>
    <w:p w14:paraId="26564D4B">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1.</w:t>
      </w:r>
      <w:r>
        <w:rPr>
          <w:rFonts w:hint="default" w:hAnsi="宋体"/>
          <w:bCs/>
          <w:color w:val="auto"/>
          <w:szCs w:val="21"/>
          <w:u w:val="none"/>
          <w:lang w:val="en-US" w:eastAsia="zh-CN"/>
        </w:rPr>
        <w:t xml:space="preserve"> 甲方的权利、义务及承诺 </w:t>
      </w:r>
    </w:p>
    <w:p w14:paraId="75545BBE">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1.1 甲方的权利</w:t>
      </w:r>
    </w:p>
    <w:p w14:paraId="2F827F71">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1) </w:t>
      </w:r>
      <w:r>
        <w:rPr>
          <w:rFonts w:hint="eastAsia" w:hAnsi="宋体"/>
          <w:bCs/>
          <w:color w:val="auto"/>
          <w:szCs w:val="21"/>
          <w:u w:val="none"/>
          <w:lang w:val="en-US" w:eastAsia="zh-CN"/>
        </w:rPr>
        <w:t xml:space="preserve"> </w:t>
      </w:r>
      <w:r>
        <w:rPr>
          <w:rFonts w:hint="default" w:hAnsi="宋体"/>
          <w:bCs/>
          <w:color w:val="auto"/>
          <w:szCs w:val="21"/>
          <w:u w:val="none"/>
          <w:lang w:val="en-US" w:eastAsia="zh-CN"/>
        </w:rPr>
        <w:t xml:space="preserve">有权宣传获得认证资格的事实。 </w:t>
      </w:r>
    </w:p>
    <w:p w14:paraId="53022ACE">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  享有由于获得认证资格以及使用认证证书及认证标志取得的经济利益。 </w:t>
      </w:r>
    </w:p>
    <w:p w14:paraId="245DBA91">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3)  甲方对乙方关于认证的暂停和撤销决定有权提出申诉，有权对不规范的认证行为提出投诉。 </w:t>
      </w:r>
    </w:p>
    <w:p w14:paraId="7767317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4）甲方有权提出认证注销申请。 </w:t>
      </w:r>
    </w:p>
    <w:p w14:paraId="3E0A85E0">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1.2 甲方的义务</w:t>
      </w:r>
    </w:p>
    <w:p w14:paraId="254C3967">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1) 向乙方如实提供认证申请资料，实事求是填写《认证申请书》。 </w:t>
      </w:r>
    </w:p>
    <w:p w14:paraId="241FCAC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2）向乙方提供管理手册及其它认证所需要的文件，提供至少三个月体系运行的全部文件和资料证据，证据应该是真实的。 </w:t>
      </w:r>
    </w:p>
    <w:p w14:paraId="7CCEDCF6">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3)  为现场审核组提供必要的交通、食宿、通讯、审核期间办公场所及其它必要的工作条件。 </w:t>
      </w:r>
    </w:p>
    <w:p w14:paraId="1058CA6D">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4) 甲方应予以全面配合由国家认监委及地方认证监管部门、认可机构和认证机构（乙方）组织 的各类见证审核、稽查及抽查。 </w:t>
      </w:r>
    </w:p>
    <w:p w14:paraId="2A4D9515">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5) 甲方在获得认证后，应按规定接受监督审核、再认证审核及各种特殊审核；应遵守乙方制定的认证规则文件。正确使用认证证书和有关信息；不擅自利用认证证书和相关文字、符号误导公众认为其产品或服务通过认证。并按期向乙方交纳本合同确定的费用以保证证书有效性。 </w:t>
      </w:r>
    </w:p>
    <w:p w14:paraId="5B4B4628">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6)  甲方有义务遵守为符合标准要求所承诺的合规性义务及法律法规，并定期评价，保留记录。 </w:t>
      </w:r>
    </w:p>
    <w:p w14:paraId="35742990">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7) 当甲方</w:t>
      </w:r>
      <w:r>
        <w:rPr>
          <w:rFonts w:hint="eastAsia" w:hAnsi="宋体"/>
          <w:bCs/>
          <w:color w:val="auto"/>
          <w:szCs w:val="21"/>
          <w:u w:val="none"/>
          <w:lang w:val="en-US" w:eastAsia="zh-CN"/>
        </w:rPr>
        <w:t>受到政府管理部门处罚或发生重大调整后</w:t>
      </w:r>
      <w:r>
        <w:rPr>
          <w:rFonts w:hint="default" w:hAnsi="宋体"/>
          <w:bCs/>
          <w:color w:val="auto"/>
          <w:szCs w:val="21"/>
          <w:u w:val="none"/>
          <w:lang w:val="en-US" w:eastAsia="zh-CN"/>
        </w:rPr>
        <w:t>，</w:t>
      </w:r>
      <w:r>
        <w:rPr>
          <w:rFonts w:hint="eastAsia" w:hAnsi="宋体"/>
          <w:bCs/>
          <w:color w:val="auto"/>
          <w:szCs w:val="21"/>
          <w:u w:val="none"/>
          <w:lang w:val="en-US" w:eastAsia="zh-CN"/>
        </w:rPr>
        <w:t>应在30日内，</w:t>
      </w:r>
      <w:r>
        <w:rPr>
          <w:rFonts w:hint="default" w:hAnsi="宋体"/>
          <w:bCs/>
          <w:color w:val="auto"/>
          <w:szCs w:val="21"/>
          <w:u w:val="none"/>
          <w:lang w:val="en-US" w:eastAsia="zh-CN"/>
        </w:rPr>
        <w:t>向乙方通报该信息，</w:t>
      </w:r>
      <w:r>
        <w:rPr>
          <w:rFonts w:hint="eastAsia" w:hAnsi="宋体"/>
          <w:bCs/>
          <w:color w:val="auto"/>
          <w:szCs w:val="21"/>
          <w:u w:val="none"/>
          <w:lang w:val="en-US" w:eastAsia="zh-CN"/>
        </w:rPr>
        <w:t>乙</w:t>
      </w:r>
      <w:r>
        <w:rPr>
          <w:rFonts w:hint="default" w:hAnsi="宋体"/>
          <w:bCs/>
          <w:color w:val="auto"/>
          <w:szCs w:val="21"/>
          <w:u w:val="none"/>
          <w:lang w:val="en-US" w:eastAsia="zh-CN"/>
        </w:rPr>
        <w:t xml:space="preserve">方视情况采取相应的措施（包括调整监督审核时间、方式和内容、暂停与撤销认证证书等）。 </w:t>
      </w:r>
    </w:p>
    <w:p w14:paraId="5F3DEC0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8)  认证资格被撤销后，立即停止使用认证证书，并向乙方退还认证证书。 </w:t>
      </w:r>
    </w:p>
    <w:p w14:paraId="777C3B11">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1.3 甲方的承诺</w:t>
      </w:r>
    </w:p>
    <w:p w14:paraId="7C55E03F">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1)</w:t>
      </w:r>
      <w:r>
        <w:rPr>
          <w:rFonts w:hint="default" w:hAnsi="宋体"/>
          <w:bCs/>
          <w:color w:val="auto"/>
          <w:szCs w:val="21"/>
          <w:u w:val="none"/>
          <w:lang w:val="en-US" w:eastAsia="zh-CN"/>
        </w:rPr>
        <w:tab/>
      </w:r>
      <w:r>
        <w:rPr>
          <w:rFonts w:hint="default" w:hAnsi="宋体"/>
          <w:bCs/>
          <w:color w:val="auto"/>
          <w:szCs w:val="21"/>
          <w:u w:val="none"/>
          <w:lang w:val="en-US" w:eastAsia="zh-CN"/>
        </w:rPr>
        <w:t>甲方承诺获得认证后持续有效运行质量管理体系。</w:t>
      </w:r>
    </w:p>
    <w:p w14:paraId="75E588BD">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2)</w:t>
      </w:r>
      <w:r>
        <w:rPr>
          <w:rFonts w:hint="default" w:hAnsi="宋体"/>
          <w:bCs/>
          <w:color w:val="auto"/>
          <w:szCs w:val="21"/>
          <w:u w:val="none"/>
          <w:lang w:val="en-US" w:eastAsia="zh-CN"/>
        </w:rPr>
        <w:tab/>
      </w:r>
      <w:r>
        <w:rPr>
          <w:rFonts w:hint="default" w:hAnsi="宋体"/>
          <w:bCs/>
          <w:color w:val="auto"/>
          <w:szCs w:val="21"/>
          <w:u w:val="none"/>
          <w:lang w:val="en-US" w:eastAsia="zh-CN"/>
        </w:rPr>
        <w:t>甲方承诺遵守认证认可相关法律法规，协助认证监管部门的监督检查，对有关事项的询问和调查如实提供相关材料和信息。</w:t>
      </w:r>
    </w:p>
    <w:p w14:paraId="669240FE">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 乙方的权利和义务 </w:t>
      </w:r>
    </w:p>
    <w:p w14:paraId="2F9D6291">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2.1 乙方的权利  </w:t>
      </w:r>
    </w:p>
    <w:p w14:paraId="5A9D3340">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1) 通过审核证明不满足认证要求的，乙方有权不颁发认证证书，但应收取已经发生的认证活动费用。 </w:t>
      </w:r>
    </w:p>
    <w:p w14:paraId="779896E0">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 在证书有效期内，乙方有权按规定实施例行性监督审核、特殊审核及认证有效性稽查/抽查， 否则，乙方有权暂停、撤销甲方的认证资格并要求甲方停止使用并退还相关的认证证书。 </w:t>
      </w:r>
    </w:p>
    <w:p w14:paraId="04F64A20">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3) 甲方获准认证后，如不按时支付年金、监督审核费及审核人员的差旅费用，乙方有权暂停、撤销甲方的认证资格并要求甲方停止使用并退还相关的认证证书。 </w:t>
      </w:r>
    </w:p>
    <w:p w14:paraId="0B2E8528">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4) 有权公布甲方的获准、暂停、注销和撤销认证状态。 </w:t>
      </w:r>
    </w:p>
    <w:p w14:paraId="2E13861B">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5)  依据法律要求或认可机构合同要求，向监管部门或认可机构提供甲方信息。 </w:t>
      </w:r>
    </w:p>
    <w:p w14:paraId="6D4BBA59">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3.2.2 乙方的义务</w:t>
      </w:r>
    </w:p>
    <w:p w14:paraId="255FD37D">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1)  根据认证方案在委托的认证范围内公正、客观、科学地开展认证活动。 </w:t>
      </w:r>
    </w:p>
    <w:p w14:paraId="3330D953">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2) 派遣适宜的审核人员，并征得甲方同意。 </w:t>
      </w:r>
    </w:p>
    <w:p w14:paraId="31043203">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3) 通过乙方现场审核，技术委员会认证评审，确认甲方符合认证认可法规、认证标准、适用法律法规及乙方制定的认证规则文件等要求后，向甲方提供认证证书并告知其认证证书的使用规则。 </w:t>
      </w:r>
    </w:p>
    <w:p w14:paraId="1DED19FB">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 xml:space="preserve">4) 认证要求发生更改时，书面通知甲方。 </w:t>
      </w:r>
    </w:p>
    <w:p w14:paraId="440B96AC">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5)  做出暂停、撤销认证证书的决定时，必须书面通知甲方，说明理由。</w:t>
      </w:r>
    </w:p>
    <w:p w14:paraId="74A5B64C">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3.</w:t>
      </w:r>
      <w:r>
        <w:rPr>
          <w:rFonts w:hint="default" w:hAnsi="宋体"/>
          <w:bCs/>
          <w:color w:val="auto"/>
          <w:szCs w:val="21"/>
          <w:u w:val="none"/>
          <w:lang w:val="en-US" w:eastAsia="zh-CN"/>
        </w:rPr>
        <w:t>双方责任</w:t>
      </w:r>
    </w:p>
    <w:p w14:paraId="7303DE7E">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3</w:t>
      </w:r>
      <w:r>
        <w:rPr>
          <w:rFonts w:hint="default" w:hAnsi="宋体"/>
          <w:bCs/>
          <w:color w:val="auto"/>
          <w:szCs w:val="21"/>
          <w:u w:val="none"/>
          <w:lang w:val="en-US" w:eastAsia="zh-CN"/>
        </w:rPr>
        <w:t xml:space="preserve">.1 甲方获得认证证书后，乙方受理第三方对甲方有关投诉，须通报甲方，与甲方协商解决，确属甲方责任的，由甲方负责解决。 </w:t>
      </w:r>
    </w:p>
    <w:p w14:paraId="01DA69CC">
      <w:pPr>
        <w:pStyle w:val="4"/>
        <w:spacing w:line="360" w:lineRule="auto"/>
        <w:ind w:left="0" w:leftChars="0" w:right="42" w:rightChars="20" w:firstLine="420" w:firstLineChars="200"/>
        <w:rPr>
          <w:rFonts w:hint="default" w:hAnsi="宋体"/>
          <w:bCs/>
          <w:color w:val="auto"/>
          <w:szCs w:val="21"/>
          <w:u w:val="none"/>
          <w:lang w:val="en-US" w:eastAsia="zh-CN"/>
        </w:rPr>
      </w:pPr>
      <w:r>
        <w:rPr>
          <w:rFonts w:hint="eastAsia" w:hAnsi="宋体"/>
          <w:bCs/>
          <w:color w:val="auto"/>
          <w:szCs w:val="21"/>
          <w:u w:val="none"/>
          <w:lang w:val="en-US" w:eastAsia="zh-CN"/>
        </w:rPr>
        <w:t>3</w:t>
      </w:r>
      <w:r>
        <w:rPr>
          <w:rFonts w:hint="default" w:hAnsi="宋体"/>
          <w:bCs/>
          <w:color w:val="auto"/>
          <w:szCs w:val="21"/>
          <w:u w:val="none"/>
          <w:lang w:val="en-US" w:eastAsia="zh-CN"/>
        </w:rPr>
        <w:t>.2  除法律法规要求外，双方均不得将对方的保密信息以任何方式泄露给第三方。</w:t>
      </w:r>
    </w:p>
    <w:p w14:paraId="427C7621">
      <w:pPr>
        <w:pStyle w:val="4"/>
        <w:spacing w:line="360" w:lineRule="auto"/>
        <w:ind w:left="0" w:leftChars="0" w:right="42" w:rightChars="20" w:firstLine="422" w:firstLineChars="200"/>
        <w:rPr>
          <w:rFonts w:hint="eastAsia" w:hAnsi="宋体"/>
          <w:b/>
          <w:bCs w:val="0"/>
          <w:color w:val="auto"/>
          <w:szCs w:val="21"/>
          <w:u w:val="none"/>
          <w:lang w:val="en-US" w:eastAsia="zh-CN"/>
        </w:rPr>
      </w:pPr>
      <w:r>
        <w:rPr>
          <w:rFonts w:hint="eastAsia" w:hAnsi="宋体"/>
          <w:b/>
          <w:bCs w:val="0"/>
          <w:color w:val="auto"/>
          <w:szCs w:val="21"/>
          <w:u w:val="none"/>
          <w:lang w:val="en-US" w:eastAsia="zh-CN"/>
        </w:rPr>
        <w:t>四、风险</w:t>
      </w:r>
    </w:p>
    <w:p w14:paraId="01206247">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 xml:space="preserve">1. </w:t>
      </w:r>
      <w:r>
        <w:rPr>
          <w:rFonts w:hint="default" w:hAnsi="宋体"/>
          <w:bCs/>
          <w:color w:val="auto"/>
          <w:szCs w:val="21"/>
          <w:u w:val="none"/>
          <w:lang w:val="en-US" w:eastAsia="zh-CN"/>
        </w:rPr>
        <w:t>甲方如达不到或不能保持认证要求和条件，承担不能取得认证证书或不能保持证书的风险；</w:t>
      </w:r>
      <w:r>
        <w:rPr>
          <w:rFonts w:hint="eastAsia" w:hAnsi="宋体"/>
          <w:bCs/>
          <w:color w:val="auto"/>
          <w:szCs w:val="21"/>
          <w:u w:val="none"/>
          <w:lang w:val="en-US" w:eastAsia="zh-CN"/>
        </w:rPr>
        <w:t xml:space="preserve">。 </w:t>
      </w:r>
    </w:p>
    <w:p w14:paraId="5F108C9B">
      <w:pPr>
        <w:pStyle w:val="4"/>
        <w:spacing w:line="360" w:lineRule="auto"/>
        <w:ind w:left="0" w:leftChars="0" w:right="42" w:rightChars="20" w:firstLine="420" w:firstLineChars="200"/>
        <w:rPr>
          <w:rFonts w:hint="default" w:hAnsi="宋体"/>
          <w:bCs/>
          <w:color w:val="auto"/>
          <w:szCs w:val="21"/>
          <w:u w:val="none"/>
          <w:lang w:val="en-US" w:eastAsia="zh-CN"/>
        </w:rPr>
      </w:pPr>
      <w:r>
        <w:rPr>
          <w:rFonts w:hint="default" w:hAnsi="宋体"/>
          <w:bCs/>
          <w:color w:val="auto"/>
          <w:szCs w:val="21"/>
          <w:u w:val="none"/>
          <w:lang w:val="en-US" w:eastAsia="zh-CN"/>
        </w:rPr>
        <w:t>2</w:t>
      </w:r>
      <w:r>
        <w:rPr>
          <w:rFonts w:hint="eastAsia" w:hAnsi="宋体"/>
          <w:bCs/>
          <w:color w:val="auto"/>
          <w:szCs w:val="21"/>
          <w:u w:val="none"/>
          <w:lang w:val="en-US" w:eastAsia="zh-CN"/>
        </w:rPr>
        <w:t>.</w:t>
      </w:r>
      <w:r>
        <w:rPr>
          <w:rFonts w:hint="default" w:hAnsi="宋体"/>
          <w:bCs/>
          <w:color w:val="auto"/>
          <w:szCs w:val="21"/>
          <w:u w:val="none"/>
          <w:lang w:val="en-US" w:eastAsia="zh-CN"/>
        </w:rPr>
        <w:t xml:space="preserve"> 甲方获证后可能因达不到认证时的条件或不符合乙方的规定,将承担被乙方暂停、撤销使用认证证书和认证标识的风险；暂停期内及撤销认证资格时,立即停止使用证书和所有引用认证资格的宣传，证书撤销时应立即将证书交还乙方。</w:t>
      </w:r>
    </w:p>
    <w:p w14:paraId="24833D0F">
      <w:pPr>
        <w:pStyle w:val="4"/>
        <w:spacing w:line="360" w:lineRule="auto"/>
        <w:ind w:left="0" w:leftChars="0" w:right="42" w:rightChars="20" w:firstLine="420" w:firstLineChars="200"/>
        <w:rPr>
          <w:rFonts w:hint="eastAsia" w:hAnsi="宋体"/>
          <w:bCs/>
          <w:color w:val="auto"/>
          <w:szCs w:val="21"/>
          <w:u w:val="none"/>
          <w:lang w:val="en-US" w:eastAsia="zh-CN"/>
        </w:rPr>
      </w:pPr>
      <w:r>
        <w:rPr>
          <w:rFonts w:hint="default" w:hAnsi="宋体"/>
          <w:bCs/>
          <w:color w:val="auto"/>
          <w:szCs w:val="21"/>
          <w:u w:val="none"/>
          <w:lang w:val="en-US" w:eastAsia="zh-CN"/>
        </w:rPr>
        <w:t>3</w:t>
      </w:r>
      <w:r>
        <w:rPr>
          <w:rFonts w:hint="eastAsia" w:hAnsi="宋体"/>
          <w:bCs/>
          <w:color w:val="auto"/>
          <w:szCs w:val="21"/>
          <w:u w:val="none"/>
          <w:lang w:val="en-US" w:eastAsia="zh-CN"/>
        </w:rPr>
        <w:t>.</w:t>
      </w:r>
      <w:r>
        <w:rPr>
          <w:rFonts w:hint="default" w:hAnsi="宋体"/>
          <w:bCs/>
          <w:color w:val="auto"/>
          <w:szCs w:val="21"/>
          <w:u w:val="none"/>
          <w:lang w:val="en-US" w:eastAsia="zh-CN"/>
        </w:rPr>
        <w:t xml:space="preserve"> 甲方合同期内隐瞒重要信息、提供虚假信息可能导致被撤销证书的风险。</w:t>
      </w:r>
      <w:r>
        <w:rPr>
          <w:rFonts w:hint="eastAsia" w:hAnsi="宋体"/>
          <w:bCs/>
          <w:color w:val="auto"/>
          <w:szCs w:val="21"/>
          <w:u w:val="none"/>
          <w:lang w:val="en-US" w:eastAsia="zh-CN"/>
        </w:rPr>
        <w:t xml:space="preserve"> </w:t>
      </w:r>
    </w:p>
    <w:p w14:paraId="42E2DFBB">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4. 乙方承担在认证审核活动中，由于公正性和有效性管理失控而产生的风险。</w:t>
      </w:r>
    </w:p>
    <w:p w14:paraId="65DE3BA4">
      <w:pPr>
        <w:pStyle w:val="4"/>
        <w:spacing w:line="360" w:lineRule="auto"/>
        <w:ind w:left="0" w:leftChars="0" w:right="42" w:rightChars="20" w:firstLine="422" w:firstLineChars="200"/>
        <w:rPr>
          <w:rFonts w:hint="eastAsia" w:hAnsi="宋体"/>
          <w:b/>
          <w:bCs w:val="0"/>
          <w:color w:val="auto"/>
          <w:szCs w:val="21"/>
          <w:u w:val="none"/>
          <w:lang w:val="en-US" w:eastAsia="zh-CN"/>
        </w:rPr>
      </w:pPr>
      <w:r>
        <w:rPr>
          <w:rFonts w:hint="eastAsia" w:hAnsi="宋体"/>
          <w:b/>
          <w:bCs w:val="0"/>
          <w:color w:val="auto"/>
          <w:szCs w:val="21"/>
          <w:u w:val="none"/>
          <w:lang w:val="en-US" w:eastAsia="zh-CN"/>
        </w:rPr>
        <w:t>五、合同的生效与终止</w:t>
      </w:r>
    </w:p>
    <w:p w14:paraId="46D8471A">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 xml:space="preserve">1 本合同一式贰份，甲方和乙方各执壹份，具有同等的法律效力，自双方代表签字盖章之日起生效。 </w:t>
      </w:r>
    </w:p>
    <w:p w14:paraId="6A0C83E0">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 xml:space="preserve">2 本合同有效期为三年，注销或撤销认证证书的同时，本合同书终止。 </w:t>
      </w:r>
    </w:p>
    <w:p w14:paraId="4F239C0A">
      <w:pPr>
        <w:pStyle w:val="4"/>
        <w:spacing w:line="360" w:lineRule="auto"/>
        <w:ind w:left="0" w:leftChars="0" w:right="42" w:rightChars="20" w:firstLine="422" w:firstLineChars="200"/>
        <w:rPr>
          <w:rFonts w:hint="eastAsia" w:hAnsi="宋体"/>
          <w:b/>
          <w:bCs w:val="0"/>
          <w:color w:val="auto"/>
          <w:szCs w:val="21"/>
          <w:u w:val="none"/>
          <w:lang w:val="en-US" w:eastAsia="zh-CN"/>
        </w:rPr>
      </w:pPr>
      <w:r>
        <w:rPr>
          <w:rFonts w:hint="eastAsia" w:hAnsi="宋体"/>
          <w:b/>
          <w:bCs w:val="0"/>
          <w:color w:val="auto"/>
          <w:szCs w:val="21"/>
          <w:u w:val="none"/>
          <w:lang w:val="en-US" w:eastAsia="zh-CN"/>
        </w:rPr>
        <w:t>六、争议处理</w:t>
      </w:r>
    </w:p>
    <w:p w14:paraId="35630791">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1.因本合同引起的或与本合同有关的争议，双方应当协商解决。</w:t>
      </w:r>
    </w:p>
    <w:p w14:paraId="184E1798">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2.协商不成，应将争议提交乙方所在地的仲裁委员会，按该会届时有效的仲裁规则进行仲裁。仲裁裁决是终局的，对双方均有约束力。</w:t>
      </w:r>
    </w:p>
    <w:p w14:paraId="1B0F86F9">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3.协商不成的，由乙方所在地通过诉讼方式解决。</w:t>
      </w:r>
    </w:p>
    <w:p w14:paraId="476A086A">
      <w:pPr>
        <w:pStyle w:val="4"/>
        <w:spacing w:line="360" w:lineRule="auto"/>
        <w:ind w:left="0" w:leftChars="0" w:right="42" w:rightChars="20" w:firstLine="422" w:firstLineChars="200"/>
        <w:rPr>
          <w:rFonts w:hint="eastAsia" w:hAnsi="宋体"/>
          <w:b/>
          <w:bCs w:val="0"/>
          <w:color w:val="auto"/>
          <w:szCs w:val="21"/>
          <w:u w:val="none"/>
          <w:lang w:val="en-US" w:eastAsia="zh-CN"/>
        </w:rPr>
      </w:pPr>
      <w:r>
        <w:rPr>
          <w:rFonts w:hint="eastAsia" w:hAnsi="宋体"/>
          <w:b/>
          <w:bCs w:val="0"/>
          <w:color w:val="auto"/>
          <w:szCs w:val="21"/>
          <w:u w:val="none"/>
          <w:lang w:val="en-US" w:eastAsia="zh-CN"/>
        </w:rPr>
        <w:t>七、保密性原则</w:t>
      </w:r>
    </w:p>
    <w:p w14:paraId="412BA2FE">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乙方不得将甲方经营、生产状况及技术信息以任何方式泄漏给第三方，但下列情况除外：</w:t>
      </w:r>
    </w:p>
    <w:p w14:paraId="7C6C9125">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1、合同签署前乙方在不违反任何保密责任情况下得到的消息。</w:t>
      </w:r>
    </w:p>
    <w:p w14:paraId="3B75F684">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2、甲方已公开的资料。</w:t>
      </w:r>
    </w:p>
    <w:p w14:paraId="5F7C5937">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3、法律另有要求时。</w:t>
      </w:r>
    </w:p>
    <w:p w14:paraId="1A3BB9DF">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4、国家主管部门或有管辖权的司法机构和仲裁机关做出判决、裁定、裁决等司法文书要求时。</w:t>
      </w:r>
    </w:p>
    <w:p w14:paraId="5543907A">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5、申请组织有其他保密要求时，甲乙双方另行签署《保密协议》，此保密协议构成合同附件。</w:t>
      </w:r>
    </w:p>
    <w:p w14:paraId="475E9B10">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八、合同的更改和补充</w:t>
      </w:r>
    </w:p>
    <w:p w14:paraId="46D3A7B7">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 xml:space="preserve">1. 本合同未尽事宜，甲乙双方可协商订立补充条款作为本合同的附件。 </w:t>
      </w:r>
    </w:p>
    <w:tbl>
      <w:tblPr>
        <w:tblStyle w:val="12"/>
        <w:tblpPr w:leftFromText="180" w:rightFromText="180" w:vertAnchor="text" w:horzAnchor="page" w:tblpX="776" w:tblpY="998"/>
        <w:tblOverlap w:val="never"/>
        <w:tblW w:w="10179" w:type="dxa"/>
        <w:tblInd w:w="0" w:type="dxa"/>
        <w:tblLayout w:type="fixed"/>
        <w:tblCellMar>
          <w:top w:w="0" w:type="dxa"/>
          <w:left w:w="0" w:type="dxa"/>
          <w:bottom w:w="0" w:type="dxa"/>
          <w:right w:w="0" w:type="dxa"/>
        </w:tblCellMar>
      </w:tblPr>
      <w:tblGrid>
        <w:gridCol w:w="5434"/>
        <w:gridCol w:w="4745"/>
      </w:tblGrid>
      <w:tr w14:paraId="18679ABC">
        <w:tblPrEx>
          <w:tblCellMar>
            <w:top w:w="0" w:type="dxa"/>
            <w:left w:w="0" w:type="dxa"/>
            <w:bottom w:w="0" w:type="dxa"/>
            <w:right w:w="0" w:type="dxa"/>
          </w:tblCellMar>
        </w:tblPrEx>
        <w:trPr>
          <w:trHeight w:val="425" w:hRule="exact"/>
        </w:trPr>
        <w:tc>
          <w:tcPr>
            <w:tcW w:w="5434" w:type="dxa"/>
            <w:tcBorders>
              <w:top w:val="single" w:color="000000" w:sz="6" w:space="0"/>
              <w:left w:val="single" w:color="000000" w:sz="6" w:space="0"/>
              <w:bottom w:val="single" w:color="000000" w:sz="6" w:space="0"/>
              <w:right w:val="single" w:color="000000" w:sz="6" w:space="0"/>
            </w:tcBorders>
          </w:tcPr>
          <w:p w14:paraId="2A4B9D44">
            <w:pPr>
              <w:pStyle w:val="11"/>
              <w:spacing w:line="348" w:lineRule="exact"/>
              <w:ind w:left="115"/>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甲方 (印章) : </w:t>
            </w:r>
          </w:p>
        </w:tc>
        <w:tc>
          <w:tcPr>
            <w:tcW w:w="4745" w:type="dxa"/>
            <w:tcBorders>
              <w:top w:val="single" w:color="000000" w:sz="6" w:space="0"/>
              <w:left w:val="single" w:color="000000" w:sz="6" w:space="0"/>
              <w:bottom w:val="single" w:color="000000" w:sz="6" w:space="0"/>
              <w:right w:val="single" w:color="000000" w:sz="6" w:space="0"/>
            </w:tcBorders>
          </w:tcPr>
          <w:p w14:paraId="2C525420">
            <w:pPr>
              <w:pStyle w:val="11"/>
              <w:spacing w:line="341" w:lineRule="exact"/>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乙方 (印章): </w:t>
            </w:r>
            <w:r>
              <w:rPr>
                <w:rFonts w:hint="eastAsia" w:ascii="宋体" w:hAnsi="宋体" w:cs="宋体"/>
                <w:bCs/>
                <w:color w:val="auto"/>
                <w:kern w:val="2"/>
                <w:sz w:val="21"/>
                <w:szCs w:val="21"/>
                <w:u w:val="none"/>
                <w:lang w:val="en-US" w:eastAsia="zh-CN" w:bidi="ar-SA"/>
              </w:rPr>
              <w:t>中天认证有限公司</w:t>
            </w:r>
          </w:p>
        </w:tc>
      </w:tr>
      <w:tr w14:paraId="1BCDC281">
        <w:tblPrEx>
          <w:tblCellMar>
            <w:top w:w="0" w:type="dxa"/>
            <w:left w:w="0" w:type="dxa"/>
            <w:bottom w:w="0" w:type="dxa"/>
            <w:right w:w="0" w:type="dxa"/>
          </w:tblCellMar>
        </w:tblPrEx>
        <w:trPr>
          <w:trHeight w:val="425" w:hRule="exact"/>
        </w:trPr>
        <w:tc>
          <w:tcPr>
            <w:tcW w:w="5434" w:type="dxa"/>
            <w:tcBorders>
              <w:top w:val="single" w:color="000000" w:sz="6" w:space="0"/>
              <w:left w:val="single" w:color="000000" w:sz="6" w:space="0"/>
              <w:bottom w:val="single" w:color="000000" w:sz="6" w:space="0"/>
              <w:right w:val="single" w:color="000000" w:sz="6" w:space="0"/>
            </w:tcBorders>
          </w:tcPr>
          <w:p w14:paraId="6A3565DC">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法定代表人或委托代理人：  </w:t>
            </w:r>
          </w:p>
        </w:tc>
        <w:tc>
          <w:tcPr>
            <w:tcW w:w="4745" w:type="dxa"/>
            <w:tcBorders>
              <w:top w:val="single" w:color="000000" w:sz="6" w:space="0"/>
              <w:left w:val="single" w:color="000000" w:sz="6" w:space="0"/>
              <w:bottom w:val="single" w:color="000000" w:sz="6" w:space="0"/>
              <w:right w:val="single" w:color="000000" w:sz="6" w:space="0"/>
            </w:tcBorders>
          </w:tcPr>
          <w:p w14:paraId="4CD5284D">
            <w:pPr>
              <w:pStyle w:val="11"/>
              <w:spacing w:before="72"/>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法定代表人或委托代理人：</w:t>
            </w:r>
            <w:r>
              <w:rPr>
                <w:rFonts w:hint="eastAsia" w:ascii="宋体" w:hAnsi="宋体" w:cs="宋体"/>
                <w:bCs/>
                <w:color w:val="auto"/>
                <w:kern w:val="2"/>
                <w:sz w:val="21"/>
                <w:szCs w:val="21"/>
                <w:u w:val="none"/>
                <w:lang w:val="en-US" w:eastAsia="zh-CN" w:bidi="ar-SA"/>
              </w:rPr>
              <w:t xml:space="preserve"> </w:t>
            </w:r>
          </w:p>
        </w:tc>
      </w:tr>
      <w:tr w14:paraId="7BACD1E5">
        <w:tblPrEx>
          <w:tblCellMar>
            <w:top w:w="0" w:type="dxa"/>
            <w:left w:w="0" w:type="dxa"/>
            <w:bottom w:w="0" w:type="dxa"/>
            <w:right w:w="0" w:type="dxa"/>
          </w:tblCellMar>
        </w:tblPrEx>
        <w:trPr>
          <w:trHeight w:val="760" w:hRule="exact"/>
        </w:trPr>
        <w:tc>
          <w:tcPr>
            <w:tcW w:w="5434" w:type="dxa"/>
            <w:tcBorders>
              <w:top w:val="single" w:color="000000" w:sz="6" w:space="0"/>
              <w:left w:val="single" w:color="000000" w:sz="6" w:space="0"/>
              <w:bottom w:val="single" w:color="000000" w:sz="6" w:space="0"/>
              <w:right w:val="single" w:color="000000" w:sz="6" w:space="0"/>
            </w:tcBorders>
          </w:tcPr>
          <w:p w14:paraId="301C7294">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地址：</w:t>
            </w:r>
          </w:p>
          <w:p w14:paraId="5889C798">
            <w:pPr>
              <w:pStyle w:val="11"/>
              <w:spacing w:before="57"/>
              <w:ind w:left="101"/>
              <w:rPr>
                <w:rFonts w:hint="eastAsia" w:ascii="宋体" w:hAnsi="宋体" w:cs="宋体" w:eastAsiaTheme="minorEastAsia"/>
                <w:bCs/>
                <w:color w:val="auto"/>
                <w:kern w:val="2"/>
                <w:sz w:val="21"/>
                <w:szCs w:val="21"/>
                <w:u w:val="none"/>
                <w:lang w:val="en-US" w:eastAsia="zh-CN" w:bidi="ar-SA"/>
              </w:rPr>
            </w:pPr>
          </w:p>
        </w:tc>
        <w:tc>
          <w:tcPr>
            <w:tcW w:w="4745" w:type="dxa"/>
            <w:tcBorders>
              <w:top w:val="single" w:color="000000" w:sz="6" w:space="0"/>
              <w:left w:val="single" w:color="000000" w:sz="6" w:space="0"/>
              <w:bottom w:val="single" w:color="000000" w:sz="6" w:space="0"/>
              <w:right w:val="single" w:color="000000" w:sz="6" w:space="0"/>
            </w:tcBorders>
          </w:tcPr>
          <w:p w14:paraId="36718C17">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地址：北京市大兴区团结路19号院23号楼3层2单元301  </w:t>
            </w:r>
          </w:p>
          <w:p w14:paraId="58D84D8C">
            <w:pPr>
              <w:pStyle w:val="11"/>
              <w:spacing w:before="112"/>
              <w:ind w:left="735"/>
              <w:rPr>
                <w:rFonts w:hint="eastAsia" w:ascii="宋体" w:hAnsi="宋体" w:cs="宋体" w:eastAsiaTheme="minorEastAsia"/>
                <w:bCs/>
                <w:color w:val="auto"/>
                <w:kern w:val="2"/>
                <w:sz w:val="21"/>
                <w:szCs w:val="21"/>
                <w:u w:val="none"/>
                <w:lang w:val="en-US" w:eastAsia="zh-CN" w:bidi="ar-SA"/>
              </w:rPr>
            </w:pPr>
          </w:p>
        </w:tc>
      </w:tr>
      <w:tr w14:paraId="6CB33291">
        <w:tblPrEx>
          <w:tblCellMar>
            <w:top w:w="0" w:type="dxa"/>
            <w:left w:w="0" w:type="dxa"/>
            <w:bottom w:w="0" w:type="dxa"/>
            <w:right w:w="0" w:type="dxa"/>
          </w:tblCellMar>
        </w:tblPrEx>
        <w:trPr>
          <w:trHeight w:val="425" w:hRule="exact"/>
        </w:trPr>
        <w:tc>
          <w:tcPr>
            <w:tcW w:w="5434" w:type="dxa"/>
            <w:tcBorders>
              <w:top w:val="single" w:color="000000" w:sz="6" w:space="0"/>
              <w:left w:val="single" w:color="000000" w:sz="6" w:space="0"/>
              <w:bottom w:val="single" w:color="000000" w:sz="6" w:space="0"/>
              <w:right w:val="single" w:color="000000" w:sz="6" w:space="0"/>
            </w:tcBorders>
          </w:tcPr>
          <w:p w14:paraId="2D2325AC">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电话：  </w:t>
            </w:r>
          </w:p>
        </w:tc>
        <w:tc>
          <w:tcPr>
            <w:tcW w:w="4745" w:type="dxa"/>
            <w:tcBorders>
              <w:top w:val="single" w:color="000000" w:sz="6" w:space="0"/>
              <w:left w:val="single" w:color="000000" w:sz="6" w:space="0"/>
              <w:bottom w:val="single" w:color="000000" w:sz="6" w:space="0"/>
              <w:right w:val="single" w:color="000000" w:sz="6" w:space="0"/>
            </w:tcBorders>
          </w:tcPr>
          <w:p w14:paraId="3DA0EDF4">
            <w:pPr>
              <w:pStyle w:val="11"/>
              <w:spacing w:before="57"/>
              <w:ind w:left="101"/>
              <w:rPr>
                <w:rFonts w:hint="default"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电话：</w:t>
            </w:r>
          </w:p>
        </w:tc>
      </w:tr>
      <w:tr w14:paraId="508C3D4E">
        <w:tblPrEx>
          <w:tblCellMar>
            <w:top w:w="0" w:type="dxa"/>
            <w:left w:w="0" w:type="dxa"/>
            <w:bottom w:w="0" w:type="dxa"/>
            <w:right w:w="0" w:type="dxa"/>
          </w:tblCellMar>
        </w:tblPrEx>
        <w:trPr>
          <w:trHeight w:val="425" w:hRule="exact"/>
        </w:trPr>
        <w:tc>
          <w:tcPr>
            <w:tcW w:w="5434" w:type="dxa"/>
            <w:tcBorders>
              <w:top w:val="single" w:color="000000" w:sz="6" w:space="0"/>
              <w:left w:val="single" w:color="000000" w:sz="6" w:space="0"/>
              <w:bottom w:val="single" w:color="000000" w:sz="6" w:space="0"/>
              <w:right w:val="single" w:color="000000" w:sz="6" w:space="0"/>
            </w:tcBorders>
          </w:tcPr>
          <w:p w14:paraId="6E30F60C">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传真：  </w:t>
            </w:r>
          </w:p>
        </w:tc>
        <w:tc>
          <w:tcPr>
            <w:tcW w:w="4745" w:type="dxa"/>
            <w:tcBorders>
              <w:top w:val="single" w:color="000000" w:sz="6" w:space="0"/>
              <w:left w:val="single" w:color="000000" w:sz="6" w:space="0"/>
              <w:bottom w:val="single" w:color="000000" w:sz="6" w:space="0"/>
              <w:right w:val="single" w:color="000000" w:sz="6" w:space="0"/>
            </w:tcBorders>
          </w:tcPr>
          <w:p w14:paraId="7FA894A1">
            <w:pPr>
              <w:pStyle w:val="11"/>
              <w:spacing w:line="276" w:lineRule="exact"/>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传真：</w:t>
            </w:r>
            <w:r>
              <w:rPr>
                <w:rFonts w:hint="eastAsia" w:ascii="宋体" w:hAnsi="宋体" w:cs="宋体"/>
                <w:bCs/>
                <w:color w:val="auto"/>
                <w:kern w:val="2"/>
                <w:sz w:val="21"/>
                <w:szCs w:val="21"/>
                <w:u w:val="none"/>
                <w:lang w:val="en-US" w:eastAsia="zh-CN" w:bidi="ar-SA"/>
              </w:rPr>
              <w:t xml:space="preserve"> </w:t>
            </w:r>
          </w:p>
        </w:tc>
      </w:tr>
      <w:tr w14:paraId="0F0C3031">
        <w:tblPrEx>
          <w:tblCellMar>
            <w:top w:w="0" w:type="dxa"/>
            <w:left w:w="0" w:type="dxa"/>
            <w:bottom w:w="0" w:type="dxa"/>
            <w:right w:w="0" w:type="dxa"/>
          </w:tblCellMar>
        </w:tblPrEx>
        <w:trPr>
          <w:trHeight w:val="399" w:hRule="exact"/>
        </w:trPr>
        <w:tc>
          <w:tcPr>
            <w:tcW w:w="5434" w:type="dxa"/>
            <w:tcBorders>
              <w:top w:val="single" w:color="000000" w:sz="6" w:space="0"/>
              <w:left w:val="single" w:color="000000" w:sz="6" w:space="0"/>
              <w:bottom w:val="single" w:color="000000" w:sz="6" w:space="0"/>
              <w:right w:val="single" w:color="000000" w:sz="6" w:space="0"/>
            </w:tcBorders>
          </w:tcPr>
          <w:p w14:paraId="40BBA146">
            <w:pPr>
              <w:pStyle w:val="11"/>
              <w:spacing w:before="57"/>
              <w:ind w:left="101"/>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邮箱：</w:t>
            </w:r>
            <w:r>
              <w:rPr>
                <w:rFonts w:hint="eastAsia" w:ascii="宋体" w:hAnsi="宋体" w:cs="宋体"/>
                <w:bCs/>
                <w:color w:val="auto"/>
                <w:kern w:val="2"/>
                <w:sz w:val="21"/>
                <w:szCs w:val="21"/>
                <w:u w:val="none"/>
                <w:lang w:val="en-US" w:eastAsia="zh-CN" w:bidi="ar-SA"/>
              </w:rPr>
              <w:t xml:space="preserve"> </w:t>
            </w:r>
          </w:p>
        </w:tc>
        <w:tc>
          <w:tcPr>
            <w:tcW w:w="4745" w:type="dxa"/>
            <w:tcBorders>
              <w:top w:val="single" w:color="000000" w:sz="6" w:space="0"/>
              <w:left w:val="single" w:color="000000" w:sz="6" w:space="0"/>
              <w:bottom w:val="single" w:color="000000" w:sz="6" w:space="0"/>
              <w:right w:val="single" w:color="000000" w:sz="6" w:space="0"/>
            </w:tcBorders>
            <w:vAlign w:val="center"/>
          </w:tcPr>
          <w:p w14:paraId="454F1E2F">
            <w:pPr>
              <w:pStyle w:val="11"/>
              <w:spacing w:line="260" w:lineRule="exact"/>
              <w:ind w:left="101"/>
              <w:jc w:val="left"/>
              <w:rPr>
                <w:rFonts w:hint="default" w:ascii="宋体" w:hAnsi="宋体" w:cs="宋体" w:eastAsiaTheme="minorEastAsia"/>
                <w:bCs/>
                <w:color w:val="auto"/>
                <w:kern w:val="2"/>
                <w:sz w:val="21"/>
                <w:szCs w:val="21"/>
                <w:u w:val="none"/>
                <w:lang w:val="en-US" w:eastAsia="zh-CN" w:bidi="ar-SA"/>
              </w:rPr>
            </w:pPr>
            <w:r>
              <w:rPr>
                <w:rFonts w:hint="eastAsia" w:ascii="宋体" w:hAnsi="宋体" w:cs="宋体"/>
                <w:bCs/>
                <w:color w:val="auto"/>
                <w:kern w:val="2"/>
                <w:sz w:val="21"/>
                <w:szCs w:val="21"/>
                <w:u w:val="none"/>
                <w:lang w:val="en-US" w:eastAsia="zh-CN" w:bidi="ar-SA"/>
              </w:rPr>
              <w:t>户名</w:t>
            </w:r>
            <w:r>
              <w:rPr>
                <w:rFonts w:hint="eastAsia" w:ascii="宋体" w:hAnsi="宋体" w:cs="宋体" w:eastAsiaTheme="minorEastAsia"/>
                <w:bCs/>
                <w:color w:val="auto"/>
                <w:kern w:val="2"/>
                <w:sz w:val="21"/>
                <w:szCs w:val="21"/>
                <w:u w:val="none"/>
                <w:lang w:val="en-US" w:eastAsia="zh-CN" w:bidi="ar-SA"/>
              </w:rPr>
              <w:t>：</w:t>
            </w:r>
            <w:r>
              <w:rPr>
                <w:rFonts w:hint="eastAsia" w:ascii="宋体" w:hAnsi="宋体" w:cs="宋体"/>
                <w:bCs/>
                <w:color w:val="auto"/>
                <w:kern w:val="2"/>
                <w:sz w:val="21"/>
                <w:szCs w:val="21"/>
                <w:u w:val="none"/>
                <w:lang w:val="en-US" w:eastAsia="zh-CN" w:bidi="ar-SA"/>
              </w:rPr>
              <w:t xml:space="preserve"> </w:t>
            </w:r>
          </w:p>
        </w:tc>
      </w:tr>
      <w:tr w14:paraId="470348D7">
        <w:tblPrEx>
          <w:tblCellMar>
            <w:top w:w="0" w:type="dxa"/>
            <w:left w:w="0" w:type="dxa"/>
            <w:bottom w:w="0" w:type="dxa"/>
            <w:right w:w="0" w:type="dxa"/>
          </w:tblCellMar>
        </w:tblPrEx>
        <w:trPr>
          <w:trHeight w:val="365" w:hRule="exact"/>
        </w:trPr>
        <w:tc>
          <w:tcPr>
            <w:tcW w:w="5434" w:type="dxa"/>
            <w:tcBorders>
              <w:top w:val="single" w:color="000000" w:sz="6" w:space="0"/>
              <w:left w:val="single" w:color="000000" w:sz="6" w:space="0"/>
              <w:bottom w:val="single" w:color="000000" w:sz="6" w:space="0"/>
              <w:right w:val="single" w:color="000000" w:sz="6" w:space="0"/>
            </w:tcBorders>
            <w:vAlign w:val="top"/>
          </w:tcPr>
          <w:p w14:paraId="279D5EFC">
            <w:pPr>
              <w:pStyle w:val="11"/>
              <w:spacing w:before="72"/>
              <w:ind w:left="115" w:leftChars="0"/>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 xml:space="preserve">开户银行：  </w:t>
            </w:r>
          </w:p>
        </w:tc>
        <w:tc>
          <w:tcPr>
            <w:tcW w:w="4745" w:type="dxa"/>
            <w:tcBorders>
              <w:top w:val="single" w:color="000000" w:sz="6" w:space="0"/>
              <w:left w:val="single" w:color="000000" w:sz="6" w:space="0"/>
              <w:bottom w:val="single" w:color="000000" w:sz="6" w:space="0"/>
              <w:right w:val="single" w:color="000000" w:sz="6" w:space="0"/>
            </w:tcBorders>
            <w:vAlign w:val="center"/>
          </w:tcPr>
          <w:p w14:paraId="5F297F11">
            <w:pPr>
              <w:pStyle w:val="11"/>
              <w:spacing w:before="72"/>
              <w:ind w:left="115" w:leftChars="0"/>
              <w:jc w:val="left"/>
              <w:rPr>
                <w:rFonts w:hint="default"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开户银行：</w:t>
            </w:r>
          </w:p>
        </w:tc>
      </w:tr>
      <w:tr w14:paraId="26AB9A82">
        <w:tblPrEx>
          <w:tblCellMar>
            <w:top w:w="0" w:type="dxa"/>
            <w:left w:w="0" w:type="dxa"/>
            <w:bottom w:w="0" w:type="dxa"/>
            <w:right w:w="0" w:type="dxa"/>
          </w:tblCellMar>
        </w:tblPrEx>
        <w:trPr>
          <w:trHeight w:val="425" w:hRule="exact"/>
        </w:trPr>
        <w:tc>
          <w:tcPr>
            <w:tcW w:w="5434" w:type="dxa"/>
            <w:tcBorders>
              <w:top w:val="single" w:color="000000" w:sz="6" w:space="0"/>
              <w:left w:val="single" w:color="000000" w:sz="6" w:space="0"/>
              <w:bottom w:val="single" w:color="000000" w:sz="6" w:space="0"/>
              <w:right w:val="single" w:color="000000" w:sz="6" w:space="0"/>
            </w:tcBorders>
            <w:vAlign w:val="top"/>
          </w:tcPr>
          <w:p w14:paraId="420E8D25">
            <w:pPr>
              <w:pStyle w:val="11"/>
              <w:spacing w:before="72"/>
              <w:ind w:left="115" w:leftChars="0"/>
              <w:rPr>
                <w:rFonts w:hint="eastAsia"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账号：</w:t>
            </w:r>
          </w:p>
        </w:tc>
        <w:tc>
          <w:tcPr>
            <w:tcW w:w="4745" w:type="dxa"/>
            <w:tcBorders>
              <w:top w:val="single" w:color="000000" w:sz="6" w:space="0"/>
              <w:left w:val="single" w:color="000000" w:sz="6" w:space="0"/>
              <w:bottom w:val="single" w:color="000000" w:sz="6" w:space="0"/>
              <w:right w:val="single" w:color="000000" w:sz="6" w:space="0"/>
            </w:tcBorders>
            <w:vAlign w:val="center"/>
          </w:tcPr>
          <w:p w14:paraId="1E3C6C36">
            <w:pPr>
              <w:pStyle w:val="11"/>
              <w:spacing w:before="57"/>
              <w:ind w:left="101"/>
              <w:jc w:val="left"/>
              <w:rPr>
                <w:rFonts w:hint="default" w:ascii="宋体" w:hAnsi="宋体" w:cs="宋体" w:eastAsiaTheme="minorEastAsia"/>
                <w:bCs/>
                <w:color w:val="auto"/>
                <w:kern w:val="2"/>
                <w:sz w:val="21"/>
                <w:szCs w:val="21"/>
                <w:u w:val="none"/>
                <w:lang w:val="en-US" w:eastAsia="zh-CN" w:bidi="ar-SA"/>
              </w:rPr>
            </w:pPr>
            <w:r>
              <w:rPr>
                <w:rFonts w:hint="eastAsia" w:ascii="宋体" w:hAnsi="宋体" w:cs="宋体" w:eastAsiaTheme="minorEastAsia"/>
                <w:bCs/>
                <w:color w:val="auto"/>
                <w:kern w:val="2"/>
                <w:sz w:val="21"/>
                <w:szCs w:val="21"/>
                <w:u w:val="none"/>
                <w:lang w:val="en-US" w:eastAsia="zh-CN" w:bidi="ar-SA"/>
              </w:rPr>
              <w:t>账号：</w:t>
            </w:r>
            <w:r>
              <w:rPr>
                <w:rFonts w:hint="eastAsia" w:ascii="宋体" w:hAnsi="宋体" w:cs="宋体"/>
                <w:bCs/>
                <w:color w:val="auto"/>
                <w:kern w:val="2"/>
                <w:sz w:val="21"/>
                <w:szCs w:val="21"/>
                <w:u w:val="none"/>
                <w:lang w:val="en-US" w:eastAsia="zh-CN" w:bidi="ar-SA"/>
              </w:rPr>
              <w:t xml:space="preserve"> </w:t>
            </w:r>
            <w:bookmarkStart w:id="0" w:name="_GoBack"/>
            <w:bookmarkEnd w:id="0"/>
          </w:p>
        </w:tc>
      </w:tr>
    </w:tbl>
    <w:p w14:paraId="1525A709">
      <w:pPr>
        <w:pStyle w:val="4"/>
        <w:spacing w:line="360" w:lineRule="auto"/>
        <w:ind w:left="0" w:leftChars="0" w:right="42" w:rightChars="20" w:firstLine="420" w:firstLineChars="200"/>
        <w:rPr>
          <w:rFonts w:hint="eastAsia" w:hAnsi="宋体"/>
          <w:bCs/>
          <w:color w:val="auto"/>
          <w:szCs w:val="21"/>
          <w:u w:val="none"/>
          <w:lang w:val="en-US" w:eastAsia="zh-CN"/>
        </w:rPr>
      </w:pPr>
      <w:r>
        <w:rPr>
          <w:rFonts w:hint="eastAsia" w:hAnsi="宋体"/>
          <w:bCs/>
          <w:color w:val="auto"/>
          <w:szCs w:val="21"/>
          <w:u w:val="none"/>
          <w:lang w:val="en-US" w:eastAsia="zh-CN"/>
        </w:rPr>
        <w:t>2. 在合同执行期间，若有变更或补充内容，经双方协商同意后以书面附件的形式记录，签署《合同变更补充协议》，且附件作为本合同不可分割的组成部分与本合同具有相同的法律效力。</w:t>
      </w:r>
    </w:p>
    <w:p w14:paraId="10522674">
      <w:pPr>
        <w:pStyle w:val="4"/>
        <w:spacing w:line="360" w:lineRule="auto"/>
        <w:ind w:left="0" w:leftChars="0" w:right="42" w:rightChars="20" w:firstLine="0" w:firstLineChars="0"/>
        <w:rPr>
          <w:rFonts w:hint="default" w:hAnsi="宋体"/>
          <w:bCs/>
          <w:color w:val="auto"/>
          <w:szCs w:val="21"/>
          <w:u w:val="none"/>
          <w:lang w:val="en-US" w:eastAsia="zh-CN"/>
        </w:rPr>
      </w:pPr>
    </w:p>
    <w:sectPr>
      <w:headerReference r:id="rId5" w:type="default"/>
      <w:pgSz w:w="11906" w:h="16838"/>
      <w:pgMar w:top="1327" w:right="1179" w:bottom="1327"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IDOTB+ËÎÌå">
    <w:altName w:val="宋体"/>
    <w:panose1 w:val="02010600030101010101"/>
    <w:charset w:val="01"/>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5A5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7AA8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403D">
    <w:pPr>
      <w:pStyle w:val="6"/>
      <w:pBdr>
        <w:bottom w:val="single" w:color="auto" w:sz="4" w:space="1"/>
      </w:pBdr>
      <w:rPr>
        <w:rFonts w:hint="default" w:eastAsia="仿宋_GB2312"/>
        <w:lang w:val="en-US" w:eastAsia="zh-CN"/>
      </w:rPr>
    </w:pPr>
    <w:r>
      <w:rPr>
        <w:rFonts w:hint="eastAsia" w:ascii="宋体" w:hAnsi="宋体"/>
        <w:b/>
        <w:color w:val="000000"/>
        <w:sz w:val="16"/>
        <w:szCs w:val="16"/>
        <w:lang w:val="en-US" w:eastAsia="zh-CN"/>
      </w:rPr>
      <w:drawing>
        <wp:inline distT="0" distB="0" distL="114300" distR="114300">
          <wp:extent cx="202565" cy="202565"/>
          <wp:effectExtent l="0" t="0" r="6985" b="6985"/>
          <wp:docPr id="3" name="图片 1" descr="b4cdcb46f718fac4dc6ef65a5c92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b4cdcb46f718fac4dc6ef65a5c92f5c"/>
                  <pic:cNvPicPr>
                    <a:picLocks noChangeAspect="1"/>
                  </pic:cNvPicPr>
                </pic:nvPicPr>
                <pic:blipFill>
                  <a:blip r:embed="rId1"/>
                  <a:stretch>
                    <a:fillRect/>
                  </a:stretch>
                </pic:blipFill>
                <pic:spPr>
                  <a:xfrm>
                    <a:off x="0" y="0"/>
                    <a:ext cx="202565" cy="202565"/>
                  </a:xfrm>
                  <a:prstGeom prst="rect">
                    <a:avLst/>
                  </a:prstGeom>
                  <a:noFill/>
                  <a:ln>
                    <a:noFill/>
                  </a:ln>
                </pic:spPr>
              </pic:pic>
            </a:graphicData>
          </a:graphic>
        </wp:inline>
      </w:drawing>
    </w:r>
    <w:r>
      <w:rPr>
        <w:rFonts w:hint="eastAsia" w:ascii="宋体" w:hAnsi="宋体"/>
        <w:b/>
        <w:color w:val="000000"/>
        <w:sz w:val="16"/>
        <w:szCs w:val="16"/>
        <w:lang w:val="en-US" w:eastAsia="zh-CN"/>
      </w:rPr>
      <w:t>中天认证</w:t>
    </w:r>
    <w:r>
      <w:rPr>
        <w:rFonts w:hint="eastAsia" w:ascii="宋体" w:hAnsi="宋体"/>
        <w:b/>
        <w:color w:val="000000"/>
        <w:sz w:val="16"/>
        <w:szCs w:val="16"/>
      </w:rPr>
      <w:t>有限公司</w:t>
    </w:r>
    <w:r>
      <w:rPr>
        <w:rFonts w:hint="eastAsia" w:ascii="仿宋_GB2312" w:hAnsi="宋体" w:eastAsia="仿宋_GB2312" w:cs="黑体"/>
        <w:b/>
        <w:sz w:val="16"/>
        <w:szCs w:val="16"/>
      </w:rPr>
      <w:t xml:space="preserve"> </w:t>
    </w:r>
    <w:r>
      <w:rPr>
        <w:rFonts w:hint="eastAsia" w:ascii="宋体" w:hAnsi="宋体" w:cs="宋体"/>
        <w:b/>
        <w:sz w:val="20"/>
        <w:szCs w:val="20"/>
      </w:rPr>
      <w:t xml:space="preserve"> </w:t>
    </w:r>
    <w:r>
      <w:rPr>
        <w:rFonts w:hint="eastAsia" w:ascii="宋体" w:hAnsi="宋体" w:cs="宋体"/>
        <w:b/>
        <w:sz w:val="20"/>
        <w:szCs w:val="20"/>
        <w:lang w:val="en-US" w:eastAsia="zh-CN"/>
      </w:rPr>
      <w:t xml:space="preserve">                                                      </w:t>
    </w:r>
    <w:r>
      <w:rPr>
        <w:rFonts w:hint="eastAsia" w:ascii="宋体" w:hAnsi="宋体"/>
        <w:b/>
        <w:color w:val="000000"/>
        <w:sz w:val="16"/>
        <w:szCs w:val="16"/>
        <w:lang w:val="en-US" w:eastAsia="zh-CN"/>
      </w:rPr>
      <w:t>文件</w:t>
    </w:r>
    <w:r>
      <w:rPr>
        <w:rFonts w:hint="eastAsia" w:ascii="宋体" w:hAnsi="宋体"/>
        <w:b/>
        <w:color w:val="000000"/>
        <w:sz w:val="16"/>
        <w:szCs w:val="16"/>
        <w:lang w:eastAsia="zh-CN"/>
      </w:rPr>
      <w:t>编号</w:t>
    </w:r>
    <w:r>
      <w:rPr>
        <w:rFonts w:hint="eastAsia" w:ascii="宋体" w:hAnsi="宋体"/>
        <w:b/>
        <w:color w:val="000000"/>
        <w:sz w:val="16"/>
        <w:szCs w:val="16"/>
      </w:rPr>
      <w:t>：</w:t>
    </w:r>
    <w:r>
      <w:rPr>
        <w:rFonts w:hint="eastAsia" w:ascii="宋体" w:hAnsi="宋体"/>
        <w:b/>
        <w:color w:val="000000"/>
        <w:sz w:val="16"/>
        <w:szCs w:val="16"/>
        <w:lang w:eastAsia="zh-CN"/>
      </w:rPr>
      <w:t>Z</w:t>
    </w:r>
    <w:r>
      <w:rPr>
        <w:rFonts w:hint="eastAsia" w:ascii="宋体" w:hAnsi="宋体"/>
        <w:b/>
        <w:color w:val="000000"/>
        <w:sz w:val="16"/>
        <w:szCs w:val="16"/>
        <w:lang w:val="en-US" w:eastAsia="zh-CN"/>
      </w:rPr>
      <w:t>T</w:t>
    </w:r>
    <w:r>
      <w:rPr>
        <w:rFonts w:hint="eastAsia" w:ascii="宋体" w:hAnsi="宋体"/>
        <w:b/>
        <w:color w:val="000000"/>
        <w:sz w:val="16"/>
        <w:szCs w:val="16"/>
        <w:lang w:eastAsia="zh-CN"/>
      </w:rPr>
      <w:t>RZ</w:t>
    </w:r>
    <w:r>
      <w:rPr>
        <w:rFonts w:hint="eastAsia" w:ascii="宋体" w:hAnsi="宋体"/>
        <w:b/>
        <w:color w:val="000000"/>
        <w:sz w:val="16"/>
        <w:szCs w:val="16"/>
      </w:rPr>
      <w:t>-</w:t>
    </w:r>
    <w:r>
      <w:rPr>
        <w:rFonts w:hint="eastAsia" w:ascii="宋体" w:hAnsi="宋体"/>
        <w:b/>
        <w:color w:val="000000"/>
        <w:sz w:val="16"/>
        <w:szCs w:val="16"/>
        <w:lang w:val="en-US" w:eastAsia="zh-CN"/>
      </w:rPr>
      <w:t>HT</w:t>
    </w:r>
    <w:r>
      <w:rPr>
        <w:rFonts w:hint="eastAsia" w:ascii="宋体" w:hAnsi="宋体"/>
        <w:b/>
        <w:color w:val="000000"/>
        <w:sz w:val="16"/>
        <w:szCs w:val="16"/>
      </w:rPr>
      <w:t>-</w:t>
    </w:r>
    <w:r>
      <w:rPr>
        <w:rFonts w:hint="eastAsia" w:ascii="宋体" w:hAnsi="宋体"/>
        <w:b/>
        <w:color w:val="000000"/>
        <w:sz w:val="16"/>
        <w:szCs w:val="16"/>
        <w:lang w:val="en-US" w:eastAsia="zh-CN"/>
      </w:rPr>
      <w:t xml:space="preserve">B/0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5A479"/>
    <w:multiLevelType w:val="singleLevel"/>
    <w:tmpl w:val="8D35A479"/>
    <w:lvl w:ilvl="0" w:tentative="0">
      <w:start w:val="1"/>
      <w:numFmt w:val="chineseCounting"/>
      <w:suff w:val="nothing"/>
      <w:lvlText w:val="%1、"/>
      <w:lvlJc w:val="left"/>
      <w:rPr>
        <w:rFonts w:hint="eastAsia"/>
      </w:rPr>
    </w:lvl>
  </w:abstractNum>
  <w:abstractNum w:abstractNumId="1">
    <w:nsid w:val="908091B7"/>
    <w:multiLevelType w:val="singleLevel"/>
    <w:tmpl w:val="908091B7"/>
    <w:lvl w:ilvl="0" w:tentative="0">
      <w:start w:val="2"/>
      <w:numFmt w:val="decimal"/>
      <w:suff w:val="nothing"/>
      <w:lvlText w:val="%1）"/>
      <w:lvlJc w:val="left"/>
    </w:lvl>
  </w:abstractNum>
  <w:abstractNum w:abstractNumId="2">
    <w:nsid w:val="986E932B"/>
    <w:multiLevelType w:val="multilevel"/>
    <w:tmpl w:val="986E932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835E4"/>
    <w:rsid w:val="00C50541"/>
    <w:rsid w:val="01205D5C"/>
    <w:rsid w:val="017D4F5C"/>
    <w:rsid w:val="01AC75F0"/>
    <w:rsid w:val="01B464A4"/>
    <w:rsid w:val="028278D7"/>
    <w:rsid w:val="02F50ECB"/>
    <w:rsid w:val="02F56D74"/>
    <w:rsid w:val="03190CB5"/>
    <w:rsid w:val="033A6CA5"/>
    <w:rsid w:val="034D4E02"/>
    <w:rsid w:val="037C7496"/>
    <w:rsid w:val="03920A67"/>
    <w:rsid w:val="03C54999"/>
    <w:rsid w:val="03CD1A9F"/>
    <w:rsid w:val="03EA0382"/>
    <w:rsid w:val="05C659E6"/>
    <w:rsid w:val="065B3392"/>
    <w:rsid w:val="068648B3"/>
    <w:rsid w:val="071216E8"/>
    <w:rsid w:val="07246289"/>
    <w:rsid w:val="07520C39"/>
    <w:rsid w:val="075C3866"/>
    <w:rsid w:val="07832BA1"/>
    <w:rsid w:val="087F780C"/>
    <w:rsid w:val="08964B56"/>
    <w:rsid w:val="09CD0A4B"/>
    <w:rsid w:val="0A1863B6"/>
    <w:rsid w:val="0A3C34DB"/>
    <w:rsid w:val="0A5F5B47"/>
    <w:rsid w:val="0A79472F"/>
    <w:rsid w:val="0A8C6210"/>
    <w:rsid w:val="0B4C599F"/>
    <w:rsid w:val="0C061FF2"/>
    <w:rsid w:val="0C0D15D3"/>
    <w:rsid w:val="0C4274CE"/>
    <w:rsid w:val="0D6F2A5C"/>
    <w:rsid w:val="0DA57405"/>
    <w:rsid w:val="0E201A0B"/>
    <w:rsid w:val="0ED71A24"/>
    <w:rsid w:val="0F1E7653"/>
    <w:rsid w:val="10613C9B"/>
    <w:rsid w:val="110F7B9B"/>
    <w:rsid w:val="113E0197"/>
    <w:rsid w:val="11CE35B2"/>
    <w:rsid w:val="12B66520"/>
    <w:rsid w:val="12BC1FCE"/>
    <w:rsid w:val="12F2507E"/>
    <w:rsid w:val="132E5047"/>
    <w:rsid w:val="136917E4"/>
    <w:rsid w:val="13A740BB"/>
    <w:rsid w:val="13AC7923"/>
    <w:rsid w:val="13FA068E"/>
    <w:rsid w:val="147F6DE6"/>
    <w:rsid w:val="16AF08FD"/>
    <w:rsid w:val="16C17241"/>
    <w:rsid w:val="16D8458B"/>
    <w:rsid w:val="178A3AD7"/>
    <w:rsid w:val="17EA27C8"/>
    <w:rsid w:val="18C179CD"/>
    <w:rsid w:val="18D51925"/>
    <w:rsid w:val="194303E2"/>
    <w:rsid w:val="19923117"/>
    <w:rsid w:val="19F45B80"/>
    <w:rsid w:val="1A6E76E0"/>
    <w:rsid w:val="1AD24B87"/>
    <w:rsid w:val="1B5B5EB7"/>
    <w:rsid w:val="1B8F65AD"/>
    <w:rsid w:val="1BD32C63"/>
    <w:rsid w:val="1C2A3ADB"/>
    <w:rsid w:val="1C9B22E3"/>
    <w:rsid w:val="1CA4563B"/>
    <w:rsid w:val="1CE617B0"/>
    <w:rsid w:val="1D395735"/>
    <w:rsid w:val="1D886D0B"/>
    <w:rsid w:val="1D94745E"/>
    <w:rsid w:val="1E3824DF"/>
    <w:rsid w:val="1E7B23CC"/>
    <w:rsid w:val="1EBA2EF4"/>
    <w:rsid w:val="1EC315AE"/>
    <w:rsid w:val="1FE81CE3"/>
    <w:rsid w:val="20B16579"/>
    <w:rsid w:val="217F0425"/>
    <w:rsid w:val="21DF5513"/>
    <w:rsid w:val="234611FA"/>
    <w:rsid w:val="23DF33FD"/>
    <w:rsid w:val="243454F7"/>
    <w:rsid w:val="246A716A"/>
    <w:rsid w:val="24967F5F"/>
    <w:rsid w:val="252512E3"/>
    <w:rsid w:val="25501DE1"/>
    <w:rsid w:val="25513E86"/>
    <w:rsid w:val="25A62424"/>
    <w:rsid w:val="268741F7"/>
    <w:rsid w:val="269E759F"/>
    <w:rsid w:val="272C0707"/>
    <w:rsid w:val="276B56D3"/>
    <w:rsid w:val="27AB7378"/>
    <w:rsid w:val="27E35023"/>
    <w:rsid w:val="29424212"/>
    <w:rsid w:val="29B1370D"/>
    <w:rsid w:val="29CC61D1"/>
    <w:rsid w:val="2AB27175"/>
    <w:rsid w:val="2B5B714C"/>
    <w:rsid w:val="2BB91489"/>
    <w:rsid w:val="2BD650E5"/>
    <w:rsid w:val="2BE23A8A"/>
    <w:rsid w:val="2BE55328"/>
    <w:rsid w:val="2C0167A4"/>
    <w:rsid w:val="2C4617BE"/>
    <w:rsid w:val="2C9F3729"/>
    <w:rsid w:val="2CD94E8D"/>
    <w:rsid w:val="2E224612"/>
    <w:rsid w:val="2E23651F"/>
    <w:rsid w:val="2E291E44"/>
    <w:rsid w:val="2EFA3837"/>
    <w:rsid w:val="2F041F69"/>
    <w:rsid w:val="2F4D56BE"/>
    <w:rsid w:val="2FF635C9"/>
    <w:rsid w:val="305331A8"/>
    <w:rsid w:val="306929CC"/>
    <w:rsid w:val="31207BE7"/>
    <w:rsid w:val="31E3230A"/>
    <w:rsid w:val="32785148"/>
    <w:rsid w:val="32CB5278"/>
    <w:rsid w:val="333077D1"/>
    <w:rsid w:val="337E678E"/>
    <w:rsid w:val="33F26834"/>
    <w:rsid w:val="343A7CCB"/>
    <w:rsid w:val="3454670A"/>
    <w:rsid w:val="346239BA"/>
    <w:rsid w:val="34DF500B"/>
    <w:rsid w:val="34F07218"/>
    <w:rsid w:val="3529097C"/>
    <w:rsid w:val="35843E04"/>
    <w:rsid w:val="35B57A62"/>
    <w:rsid w:val="365437D6"/>
    <w:rsid w:val="36CE3589"/>
    <w:rsid w:val="36F62AE0"/>
    <w:rsid w:val="36FB1EA4"/>
    <w:rsid w:val="373D24BC"/>
    <w:rsid w:val="37F45271"/>
    <w:rsid w:val="385B0E4C"/>
    <w:rsid w:val="386D0B7F"/>
    <w:rsid w:val="387D3E88"/>
    <w:rsid w:val="38D34E86"/>
    <w:rsid w:val="39002423"/>
    <w:rsid w:val="39730417"/>
    <w:rsid w:val="39EE7A9E"/>
    <w:rsid w:val="3A0D43C8"/>
    <w:rsid w:val="3A137505"/>
    <w:rsid w:val="3B9D79CE"/>
    <w:rsid w:val="3BE835E4"/>
    <w:rsid w:val="3C3E2F5F"/>
    <w:rsid w:val="3C6F136A"/>
    <w:rsid w:val="3CCF1E09"/>
    <w:rsid w:val="3CE533DA"/>
    <w:rsid w:val="3D485717"/>
    <w:rsid w:val="3D687B67"/>
    <w:rsid w:val="3DB17760"/>
    <w:rsid w:val="3EEC6CA2"/>
    <w:rsid w:val="3F0D224A"/>
    <w:rsid w:val="3F3348D1"/>
    <w:rsid w:val="3FAD07D7"/>
    <w:rsid w:val="3FD55988"/>
    <w:rsid w:val="408D6263"/>
    <w:rsid w:val="4151103E"/>
    <w:rsid w:val="41652D3C"/>
    <w:rsid w:val="41A41AB6"/>
    <w:rsid w:val="41E03DC7"/>
    <w:rsid w:val="424A3E8F"/>
    <w:rsid w:val="425F59DD"/>
    <w:rsid w:val="42D24401"/>
    <w:rsid w:val="42D33CD5"/>
    <w:rsid w:val="42F97BDF"/>
    <w:rsid w:val="436037BB"/>
    <w:rsid w:val="43F9776B"/>
    <w:rsid w:val="43FB6C21"/>
    <w:rsid w:val="440E63C3"/>
    <w:rsid w:val="4493196E"/>
    <w:rsid w:val="449B3AEB"/>
    <w:rsid w:val="44AD6ED3"/>
    <w:rsid w:val="44EA0ACB"/>
    <w:rsid w:val="44F14EA8"/>
    <w:rsid w:val="45401AF6"/>
    <w:rsid w:val="46623CEE"/>
    <w:rsid w:val="46C744CD"/>
    <w:rsid w:val="471F573B"/>
    <w:rsid w:val="472745EF"/>
    <w:rsid w:val="48B06F92"/>
    <w:rsid w:val="490311F9"/>
    <w:rsid w:val="495D63AA"/>
    <w:rsid w:val="495F4514"/>
    <w:rsid w:val="4A767D68"/>
    <w:rsid w:val="4AC85C0D"/>
    <w:rsid w:val="4C215E00"/>
    <w:rsid w:val="4C5B0FC3"/>
    <w:rsid w:val="4CD64AED"/>
    <w:rsid w:val="4E086F29"/>
    <w:rsid w:val="4E125FF9"/>
    <w:rsid w:val="4E143B1F"/>
    <w:rsid w:val="4E6A1991"/>
    <w:rsid w:val="4EE47996"/>
    <w:rsid w:val="4F886067"/>
    <w:rsid w:val="4FC43323"/>
    <w:rsid w:val="4FDF1F0B"/>
    <w:rsid w:val="5164091A"/>
    <w:rsid w:val="51735001"/>
    <w:rsid w:val="523C3645"/>
    <w:rsid w:val="535D3873"/>
    <w:rsid w:val="538057B3"/>
    <w:rsid w:val="541303D5"/>
    <w:rsid w:val="54B5148C"/>
    <w:rsid w:val="54E57FC4"/>
    <w:rsid w:val="552A79A8"/>
    <w:rsid w:val="55CF0493"/>
    <w:rsid w:val="560E5BCA"/>
    <w:rsid w:val="561843C9"/>
    <w:rsid w:val="56A26ADB"/>
    <w:rsid w:val="57711FE2"/>
    <w:rsid w:val="58020E8D"/>
    <w:rsid w:val="58B33F35"/>
    <w:rsid w:val="59080725"/>
    <w:rsid w:val="59927FEE"/>
    <w:rsid w:val="5A166E71"/>
    <w:rsid w:val="5A7476F4"/>
    <w:rsid w:val="5B4A6DD2"/>
    <w:rsid w:val="5B8A3673"/>
    <w:rsid w:val="5C2515ED"/>
    <w:rsid w:val="5C5617A7"/>
    <w:rsid w:val="5D8D49B8"/>
    <w:rsid w:val="5E1B4A56"/>
    <w:rsid w:val="5E60690D"/>
    <w:rsid w:val="5E841B1E"/>
    <w:rsid w:val="5F555D46"/>
    <w:rsid w:val="5F8159FE"/>
    <w:rsid w:val="60EB4BB4"/>
    <w:rsid w:val="61151C31"/>
    <w:rsid w:val="6116474A"/>
    <w:rsid w:val="613C540F"/>
    <w:rsid w:val="627501C4"/>
    <w:rsid w:val="62C21944"/>
    <w:rsid w:val="63275C4B"/>
    <w:rsid w:val="63EB4ECB"/>
    <w:rsid w:val="640B2E77"/>
    <w:rsid w:val="64117255"/>
    <w:rsid w:val="64395C36"/>
    <w:rsid w:val="649C7F73"/>
    <w:rsid w:val="64BA11CB"/>
    <w:rsid w:val="65046244"/>
    <w:rsid w:val="65721698"/>
    <w:rsid w:val="66171FA7"/>
    <w:rsid w:val="66AF3F8D"/>
    <w:rsid w:val="67420B44"/>
    <w:rsid w:val="67987117"/>
    <w:rsid w:val="67A550B4"/>
    <w:rsid w:val="67DE0A52"/>
    <w:rsid w:val="696848C8"/>
    <w:rsid w:val="69CF4665"/>
    <w:rsid w:val="6A3A44B6"/>
    <w:rsid w:val="6AF66DA9"/>
    <w:rsid w:val="6B39651C"/>
    <w:rsid w:val="6C501D6F"/>
    <w:rsid w:val="6C6677E4"/>
    <w:rsid w:val="6D254C02"/>
    <w:rsid w:val="6DE94229"/>
    <w:rsid w:val="6DEA61F3"/>
    <w:rsid w:val="6E9D3265"/>
    <w:rsid w:val="6EBC36EB"/>
    <w:rsid w:val="6EC66318"/>
    <w:rsid w:val="6F1E33D4"/>
    <w:rsid w:val="6F563B40"/>
    <w:rsid w:val="6F8667E7"/>
    <w:rsid w:val="6FD902CD"/>
    <w:rsid w:val="6FE949B4"/>
    <w:rsid w:val="70E846EF"/>
    <w:rsid w:val="71123CC0"/>
    <w:rsid w:val="7130216F"/>
    <w:rsid w:val="71632544"/>
    <w:rsid w:val="71BA38C9"/>
    <w:rsid w:val="72B8241C"/>
    <w:rsid w:val="72C45265"/>
    <w:rsid w:val="731109BF"/>
    <w:rsid w:val="74A7099A"/>
    <w:rsid w:val="75505D63"/>
    <w:rsid w:val="760402F4"/>
    <w:rsid w:val="76CA6BC2"/>
    <w:rsid w:val="76F37EC6"/>
    <w:rsid w:val="774C75D7"/>
    <w:rsid w:val="78160310"/>
    <w:rsid w:val="78670B6C"/>
    <w:rsid w:val="79955265"/>
    <w:rsid w:val="7A7E5719"/>
    <w:rsid w:val="7ACC2BD2"/>
    <w:rsid w:val="7AD87AFF"/>
    <w:rsid w:val="7CD9190C"/>
    <w:rsid w:val="7D4853D0"/>
    <w:rsid w:val="7D965A4F"/>
    <w:rsid w:val="7E062242"/>
    <w:rsid w:val="7E33504C"/>
    <w:rsid w:val="7EE50A3C"/>
    <w:rsid w:val="7EE55D66"/>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3"/>
    <w:next w:val="1"/>
    <w:qFormat/>
    <w:uiPriority w:val="0"/>
    <w:pPr>
      <w:spacing w:before="0" w:line="360" w:lineRule="auto"/>
      <w:ind w:left="0" w:right="20" w:rightChars="20"/>
      <w:outlineLvl w:val="2"/>
    </w:pPr>
    <w:rPr>
      <w:rFonts w:ascii="Times New Roman"/>
      <w:sz w:val="22"/>
      <w:szCs w:val="22"/>
    </w:rPr>
  </w:style>
  <w:style w:type="paragraph" w:styleId="3">
    <w:name w:val="heading 4"/>
    <w:basedOn w:val="1"/>
    <w:next w:val="1"/>
    <w:qFormat/>
    <w:uiPriority w:val="0"/>
    <w:pPr>
      <w:spacing w:before="36"/>
      <w:ind w:left="107"/>
      <w:outlineLvl w:val="3"/>
    </w:pPr>
    <w:rPr>
      <w:rFonts w:ascii="宋体" w:cs="宋体"/>
      <w:b/>
      <w:bCs/>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ind w:left="527"/>
    </w:pPr>
    <w:rPr>
      <w:rFonts w:ascii="宋体"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3075</Words>
  <Characters>3269</Characters>
  <Lines>0</Lines>
  <Paragraphs>0</Paragraphs>
  <TotalTime>15</TotalTime>
  <ScaleCrop>false</ScaleCrop>
  <LinksUpToDate>false</LinksUpToDate>
  <CharactersWithSpaces>3882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2021-04-14T01:20:00Z</dcterms:created>
  <dc:creator>Administrator</dc:creator>
  <cp:lastModifiedBy>kiss反派</cp:lastModifiedBy>
  <cp:lastPrinted>2021-05-14T06:20:00Z</cp:lastPrinted>
  <dcterms:modified xsi:type="dcterms:W3CDTF">2026-01-23T06:42:09Z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73633A31E4D245E7810AB17234C693DF_13</vt:lpwstr>
  </property>
  <property fmtid="{D5CDD505-2E9C-101B-9397-08002B2CF9AE}" pid="4" name="KSOTemplateDocerSaveRecord">
    <vt:lpwstr>eyJoZGlkIjoiNmViMzQ0Y2RiNGVkZDJjOWRkZDViN2Y1ODhmMjQyOWMiLCJ1c2VySWQiOiIxOTExODM5NTMifQ==</vt:lpwstr>
  </property>
</Properties>
</file>